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A29A2" w:rsidRPr="0052548E" w:rsidRDefault="00266DF4" w:rsidP="004A29A2">
      <w:pPr>
        <w:tabs>
          <w:tab w:val="center" w:pos="4536"/>
          <w:tab w:val="right" w:pos="8280"/>
          <w:tab w:val="right" w:pos="9781"/>
        </w:tabs>
        <w:ind w:right="-58"/>
        <w:rPr>
          <w:rFonts w:ascii="Arial" w:hAnsi="Arial" w:cs="Arial"/>
          <w:b/>
          <w:bCs/>
          <w:sz w:val="28"/>
        </w:rPr>
      </w:pPr>
      <w:bookmarkStart w:id="0" w:name="OLE_LINK1"/>
      <w:bookmarkStart w:id="1" w:name="OLE_LINK2"/>
      <w:r w:rsidRPr="00675612">
        <w:rPr>
          <w:rFonts w:ascii="Arial" w:hAnsi="Arial" w:cs="Arial"/>
          <w:b/>
          <w:bCs/>
          <w:sz w:val="28"/>
        </w:rPr>
        <w:t>3GPP TSG RAN WG1 Meeting 91</w:t>
      </w:r>
      <w:r w:rsidR="004A29A2">
        <w:rPr>
          <w:rFonts w:ascii="Arial" w:hAnsi="Arial" w:cs="Arial"/>
          <w:b/>
          <w:bCs/>
          <w:sz w:val="28"/>
        </w:rPr>
        <w:t xml:space="preserve"> </w:t>
      </w:r>
      <w:r>
        <w:rPr>
          <w:rFonts w:ascii="Arial" w:hAnsi="Arial" w:cs="Arial"/>
          <w:b/>
          <w:bCs/>
          <w:sz w:val="28"/>
        </w:rPr>
        <w:t xml:space="preserve">                                            </w:t>
      </w:r>
      <w:r w:rsidRPr="00266DF4">
        <w:rPr>
          <w:rFonts w:ascii="Arial" w:hAnsi="Arial" w:cs="Arial"/>
          <w:b/>
          <w:bCs/>
          <w:sz w:val="28"/>
        </w:rPr>
        <w:t>R1-1719936</w:t>
      </w:r>
    </w:p>
    <w:p w:rsidR="006B3E50" w:rsidRPr="002031E8" w:rsidRDefault="00266DF4" w:rsidP="004A29A2">
      <w:pPr>
        <w:tabs>
          <w:tab w:val="center" w:pos="4536"/>
          <w:tab w:val="right" w:pos="9072"/>
        </w:tabs>
        <w:rPr>
          <w:rFonts w:ascii="Times New Roman"/>
          <w:b/>
          <w:bCs/>
          <w:sz w:val="28"/>
        </w:rPr>
      </w:pPr>
      <w:r>
        <w:rPr>
          <w:rFonts w:ascii="Arial" w:hAnsi="Arial" w:cs="Arial"/>
          <w:b/>
          <w:bCs/>
          <w:sz w:val="28"/>
          <w:lang w:eastAsia="ja-JP"/>
        </w:rPr>
        <w:t>Reno, USA, November 27</w:t>
      </w:r>
      <w:r w:rsidRPr="002970F4">
        <w:rPr>
          <w:rFonts w:ascii="Arial" w:hAnsi="Arial" w:cs="Arial"/>
          <w:b/>
          <w:bCs/>
          <w:sz w:val="28"/>
          <w:vertAlign w:val="superscript"/>
          <w:lang w:eastAsia="ja-JP"/>
        </w:rPr>
        <w:t>th</w:t>
      </w:r>
      <w:r>
        <w:rPr>
          <w:rFonts w:ascii="Arial" w:hAnsi="Arial" w:cs="Arial"/>
          <w:b/>
          <w:bCs/>
          <w:sz w:val="28"/>
          <w:lang w:eastAsia="ja-JP"/>
        </w:rPr>
        <w:t xml:space="preserve"> – December 1</w:t>
      </w:r>
      <w:r w:rsidRPr="002970F4">
        <w:rPr>
          <w:rFonts w:ascii="Arial" w:hAnsi="Arial" w:cs="Arial"/>
          <w:b/>
          <w:bCs/>
          <w:sz w:val="28"/>
          <w:vertAlign w:val="superscript"/>
          <w:lang w:eastAsia="ja-JP"/>
        </w:rPr>
        <w:t>st</w:t>
      </w:r>
      <w:r>
        <w:rPr>
          <w:rFonts w:ascii="Arial" w:hAnsi="Arial" w:cs="Arial"/>
          <w:b/>
          <w:bCs/>
          <w:sz w:val="28"/>
          <w:lang w:eastAsia="ja-JP"/>
        </w:rPr>
        <w:t>, 2017</w:t>
      </w:r>
    </w:p>
    <w:p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B749C5">
        <w:rPr>
          <w:rFonts w:ascii="Arial" w:hAnsi="Arial" w:cs="Arial"/>
          <w:snapToGrid w:val="0"/>
          <w:sz w:val="24"/>
        </w:rPr>
        <w:t>7</w:t>
      </w:r>
      <w:r w:rsidR="00622BBF">
        <w:rPr>
          <w:rFonts w:ascii="Arial" w:hAnsi="Arial" w:cs="Arial"/>
          <w:snapToGrid w:val="0"/>
          <w:sz w:val="24"/>
        </w:rPr>
        <w:t>.3.4</w:t>
      </w:r>
      <w:r w:rsidR="00B749C5">
        <w:rPr>
          <w:rFonts w:ascii="Arial" w:hAnsi="Arial" w:cs="Arial"/>
          <w:snapToGrid w:val="0"/>
          <w:sz w:val="24"/>
        </w:rPr>
        <w:t>.2</w:t>
      </w:r>
    </w:p>
    <w:p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p>
    <w:p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266DF4" w:rsidRPr="00266DF4">
        <w:rPr>
          <w:rFonts w:ascii="Arial" w:hAnsi="Arial" w:cs="Arial"/>
          <w:snapToGrid w:val="0"/>
          <w:sz w:val="24"/>
        </w:rPr>
        <w:t>Considerations on carrier aggregation for NR</w:t>
      </w:r>
    </w:p>
    <w:p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rsidR="0084715F" w:rsidRDefault="006B3E50" w:rsidP="002031E8">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C22CF5">
        <w:rPr>
          <w:szCs w:val="22"/>
          <w:lang w:val="en-US"/>
        </w:rPr>
        <w:t>meetings [</w:t>
      </w:r>
      <w:r w:rsidR="00C6304A">
        <w:rPr>
          <w:szCs w:val="22"/>
          <w:lang w:val="en-US"/>
        </w:rPr>
        <w:t>1]</w:t>
      </w:r>
      <w:r w:rsidR="00C22CF5">
        <w:rPr>
          <w:szCs w:val="22"/>
          <w:lang w:val="en-US"/>
        </w:rPr>
        <w:t>, [</w:t>
      </w:r>
      <w:r w:rsidR="00C6304A">
        <w:rPr>
          <w:szCs w:val="22"/>
          <w:lang w:val="en-US"/>
        </w:rPr>
        <w:t>2]</w:t>
      </w:r>
      <w:r w:rsidR="00C22CF5">
        <w:rPr>
          <w:szCs w:val="22"/>
          <w:lang w:val="en-US"/>
        </w:rPr>
        <w:t>, [</w:t>
      </w:r>
      <w:r w:rsidR="00C6304A">
        <w:rPr>
          <w:szCs w:val="22"/>
          <w:lang w:val="en-US"/>
        </w:rPr>
        <w:t>3]</w:t>
      </w:r>
      <w:r w:rsidR="00BF06E8">
        <w:rPr>
          <w:szCs w:val="22"/>
          <w:lang w:val="en-US"/>
        </w:rPr>
        <w:t>, [4]</w:t>
      </w:r>
      <w:r w:rsidR="002031E8">
        <w:rPr>
          <w:rFonts w:hint="eastAsia"/>
          <w:szCs w:val="22"/>
          <w:lang w:val="en-US"/>
        </w:rPr>
        <w:t>,</w:t>
      </w:r>
      <w:r w:rsidR="004A6C96">
        <w:rPr>
          <w:szCs w:val="22"/>
          <w:lang w:val="en-US"/>
        </w:rPr>
        <w:t xml:space="preserve"> </w:t>
      </w:r>
      <w:r w:rsidR="006E7583">
        <w:rPr>
          <w:szCs w:val="22"/>
          <w:lang w:val="en-US"/>
        </w:rPr>
        <w:t>the following agreements were made regarding carrier aggregation aspects.</w:t>
      </w:r>
      <w:r w:rsidR="004A6C96">
        <w:rPr>
          <w:szCs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4"/>
      </w:tblGrid>
      <w:tr w:rsidR="0084715F" w:rsidRPr="00C6453B" w:rsidTr="00C6453B">
        <w:tc>
          <w:tcPr>
            <w:tcW w:w="9480" w:type="dxa"/>
            <w:shd w:val="clear" w:color="auto" w:fill="auto"/>
          </w:tcPr>
          <w:p w:rsidR="006E7583" w:rsidRPr="002F53B2" w:rsidRDefault="006E7583" w:rsidP="006E7583">
            <w:pPr>
              <w:rPr>
                <w:rFonts w:ascii="Times New Roman"/>
                <w:b/>
                <w:iCs/>
                <w:sz w:val="22"/>
                <w:szCs w:val="22"/>
                <w:u w:val="single"/>
                <w:shd w:val="pct15" w:color="auto" w:fill="FFFFFF"/>
                <w:lang w:eastAsia="ja-JP"/>
              </w:rPr>
            </w:pPr>
            <w:r w:rsidRPr="002F53B2">
              <w:rPr>
                <w:rFonts w:ascii="Times New Roman"/>
                <w:b/>
                <w:iCs/>
                <w:sz w:val="22"/>
                <w:szCs w:val="22"/>
                <w:u w:val="single"/>
                <w:shd w:val="pct15" w:color="auto" w:fill="FFFFFF"/>
                <w:lang w:eastAsia="ja-JP"/>
              </w:rPr>
              <w:t>RAN1 #88bis Agreements:</w:t>
            </w:r>
          </w:p>
          <w:p w:rsidR="006E7583" w:rsidRPr="000474BB" w:rsidRDefault="006E7583" w:rsidP="003D2FA9">
            <w:pPr>
              <w:widowControl/>
              <w:numPr>
                <w:ilvl w:val="0"/>
                <w:numId w:val="10"/>
              </w:numPr>
              <w:wordWrap/>
              <w:autoSpaceDE/>
              <w:autoSpaceDN/>
              <w:jc w:val="left"/>
              <w:rPr>
                <w:rFonts w:ascii="Times New Roman"/>
                <w:iCs/>
                <w:sz w:val="22"/>
                <w:szCs w:val="22"/>
                <w:lang w:eastAsia="ja-JP"/>
              </w:rPr>
            </w:pPr>
            <w:r w:rsidRPr="000474BB">
              <w:rPr>
                <w:rFonts w:ascii="Times New Roman"/>
                <w:iCs/>
                <w:sz w:val="22"/>
                <w:szCs w:val="22"/>
                <w:lang w:eastAsia="ja-JP"/>
              </w:rPr>
              <w:t>For carrier aggregation, multiple timing-advance groups are supported</w:t>
            </w:r>
          </w:p>
          <w:p w:rsidR="006E7583" w:rsidRPr="000474BB" w:rsidRDefault="006E7583" w:rsidP="003D2FA9">
            <w:pPr>
              <w:widowControl/>
              <w:numPr>
                <w:ilvl w:val="1"/>
                <w:numId w:val="10"/>
              </w:numPr>
              <w:wordWrap/>
              <w:autoSpaceDE/>
              <w:autoSpaceDN/>
              <w:jc w:val="left"/>
              <w:rPr>
                <w:rFonts w:ascii="Times New Roman"/>
                <w:iCs/>
                <w:sz w:val="22"/>
                <w:szCs w:val="22"/>
                <w:shd w:val="pct15" w:color="auto" w:fill="FFFFFF"/>
                <w:lang w:eastAsia="ja-JP"/>
              </w:rPr>
            </w:pPr>
            <w:r w:rsidRPr="000474BB">
              <w:rPr>
                <w:rFonts w:ascii="Times New Roman"/>
                <w:iCs/>
                <w:sz w:val="22"/>
                <w:szCs w:val="22"/>
                <w:lang w:eastAsia="ja-JP"/>
              </w:rPr>
              <w:t>FFS: The number of timing advance groups</w:t>
            </w:r>
          </w:p>
          <w:p w:rsidR="006E7583" w:rsidRPr="000474BB" w:rsidRDefault="006E7583" w:rsidP="006E7583">
            <w:pPr>
              <w:rPr>
                <w:rFonts w:ascii="Times New Roman"/>
                <w:b/>
                <w:iCs/>
                <w:sz w:val="22"/>
                <w:szCs w:val="22"/>
                <w:u w:val="single"/>
                <w:shd w:val="pct15" w:color="auto" w:fill="FFFFFF"/>
                <w:lang w:eastAsia="ja-JP"/>
              </w:rPr>
            </w:pPr>
            <w:r w:rsidRPr="000474BB">
              <w:rPr>
                <w:rFonts w:ascii="Times New Roman"/>
                <w:b/>
                <w:iCs/>
                <w:sz w:val="22"/>
                <w:szCs w:val="22"/>
                <w:u w:val="single"/>
                <w:shd w:val="pct15" w:color="auto" w:fill="FFFFFF"/>
                <w:lang w:eastAsia="ja-JP"/>
              </w:rPr>
              <w:t>RAN1 #89 Agreements:</w:t>
            </w:r>
          </w:p>
          <w:p w:rsidR="006E7583" w:rsidRPr="000474BB" w:rsidRDefault="006E7583" w:rsidP="003D2FA9">
            <w:pPr>
              <w:widowControl/>
              <w:numPr>
                <w:ilvl w:val="0"/>
                <w:numId w:val="10"/>
              </w:numPr>
              <w:wordWrap/>
              <w:autoSpaceDE/>
              <w:autoSpaceDN/>
              <w:jc w:val="left"/>
              <w:rPr>
                <w:rFonts w:ascii="Times New Roman"/>
                <w:iCs/>
                <w:sz w:val="22"/>
                <w:szCs w:val="22"/>
                <w:lang w:eastAsia="ja-JP"/>
              </w:rPr>
            </w:pPr>
            <w:r w:rsidRPr="000474BB">
              <w:rPr>
                <w:rFonts w:ascii="Times New Roman"/>
                <w:iCs/>
                <w:sz w:val="22"/>
                <w:szCs w:val="22"/>
                <w:lang w:eastAsia="ja-JP"/>
              </w:rPr>
              <w:t xml:space="preserve">Support cross-carrier scheduling for aggregated carriers with the same and different numerology. </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the timing relationship between DCI and the corresponding PDSCH/PUSCH</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impact on the maximum number of HARQ processes</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potential restrictions (e.g., on combination of different numerology)</w:t>
            </w:r>
          </w:p>
          <w:p w:rsidR="006E7583" w:rsidRPr="000474BB" w:rsidRDefault="006E7583" w:rsidP="003D2FA9">
            <w:pPr>
              <w:widowControl/>
              <w:numPr>
                <w:ilvl w:val="0"/>
                <w:numId w:val="10"/>
              </w:numPr>
              <w:wordWrap/>
              <w:autoSpaceDE/>
              <w:autoSpaceDN/>
              <w:jc w:val="left"/>
              <w:rPr>
                <w:rFonts w:ascii="Times New Roman"/>
                <w:iCs/>
                <w:sz w:val="22"/>
                <w:szCs w:val="22"/>
                <w:lang w:eastAsia="ja-JP"/>
              </w:rPr>
            </w:pPr>
            <w:r w:rsidRPr="000474BB">
              <w:rPr>
                <w:rFonts w:ascii="Times New Roman"/>
                <w:iCs/>
                <w:sz w:val="22"/>
                <w:szCs w:val="22"/>
                <w:lang w:eastAsia="ja-JP"/>
              </w:rPr>
              <w:t xml:space="preserve">Support joint UCI feedback for aggregated carriers with the same or different numerology. </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 xml:space="preserve">FFS: the timing relationship between PDSCH and the corresponding HARQ-ACK </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 xml:space="preserve">FFS: impact on maximum number of HARQ process </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potential restrictions (e.g., on combination of different numerology)</w:t>
            </w:r>
          </w:p>
          <w:p w:rsidR="006E7583" w:rsidRPr="000474BB" w:rsidRDefault="006E7583" w:rsidP="003D2FA9">
            <w:pPr>
              <w:widowControl/>
              <w:numPr>
                <w:ilvl w:val="0"/>
                <w:numId w:val="10"/>
              </w:numPr>
              <w:wordWrap/>
              <w:autoSpaceDE/>
              <w:autoSpaceDN/>
              <w:jc w:val="left"/>
              <w:rPr>
                <w:rFonts w:ascii="Times New Roman"/>
                <w:iCs/>
                <w:sz w:val="22"/>
                <w:szCs w:val="22"/>
                <w:lang w:val="en-GB" w:eastAsia="ja-JP"/>
              </w:rPr>
            </w:pPr>
            <w:r w:rsidRPr="000474BB">
              <w:rPr>
                <w:rFonts w:ascii="Times New Roman"/>
                <w:iCs/>
                <w:sz w:val="22"/>
                <w:szCs w:val="22"/>
                <w:lang w:eastAsia="ja-JP"/>
              </w:rPr>
              <w:t>Support SRS fast switching among N uplink carriers</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The number of M uplink carriers supported by the UE for simultaneous transmission can be smaller than N</w:t>
            </w:r>
          </w:p>
          <w:p w:rsidR="006E7583" w:rsidRPr="000474BB" w:rsidRDefault="006E7583" w:rsidP="003D2FA9">
            <w:pPr>
              <w:widowControl/>
              <w:numPr>
                <w:ilvl w:val="1"/>
                <w:numId w:val="10"/>
              </w:numPr>
              <w:tabs>
                <w:tab w:val="clear" w:pos="785"/>
                <w:tab w:val="num" w:pos="1374"/>
              </w:tabs>
              <w:wordWrap/>
              <w:autoSpaceDE/>
              <w:autoSpaceDN/>
              <w:ind w:firstLine="305"/>
              <w:jc w:val="left"/>
              <w:rPr>
                <w:rFonts w:ascii="Times New Roman"/>
                <w:iCs/>
                <w:sz w:val="22"/>
                <w:szCs w:val="22"/>
                <w:lang w:eastAsia="ja-JP"/>
              </w:rPr>
            </w:pPr>
            <w:r w:rsidRPr="000474BB">
              <w:rPr>
                <w:rFonts w:ascii="Times New Roman"/>
                <w:iCs/>
                <w:sz w:val="22"/>
                <w:szCs w:val="22"/>
              </w:rPr>
              <w:t>Note: M can be 1 or larger depending on UE capability</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potential restrictions (e.g., on combination of different numerology, on combination of different frequency bands)</w:t>
            </w:r>
          </w:p>
          <w:p w:rsidR="006E7583" w:rsidRPr="000474BB" w:rsidRDefault="006E7583" w:rsidP="003D2FA9">
            <w:pPr>
              <w:widowControl/>
              <w:numPr>
                <w:ilvl w:val="0"/>
                <w:numId w:val="10"/>
              </w:numPr>
              <w:wordWrap/>
              <w:autoSpaceDE/>
              <w:autoSpaceDN/>
              <w:jc w:val="left"/>
              <w:rPr>
                <w:rFonts w:ascii="Times New Roman"/>
                <w:iCs/>
                <w:sz w:val="22"/>
                <w:szCs w:val="22"/>
                <w:lang w:eastAsia="ja-JP"/>
              </w:rPr>
            </w:pPr>
            <w:r w:rsidRPr="000474BB">
              <w:rPr>
                <w:rFonts w:ascii="Times New Roman"/>
                <w:iCs/>
                <w:sz w:val="22"/>
                <w:szCs w:val="22"/>
                <w:lang w:eastAsia="ja-JP"/>
              </w:rPr>
              <w:t>Support one PUCCH in one cell group for NR DC/CA</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The carrier for PUCCH transmission can be configured within one cell group</w:t>
            </w:r>
          </w:p>
          <w:p w:rsidR="006E7583" w:rsidRPr="000474BB" w:rsidRDefault="006E7583" w:rsidP="003D2FA9">
            <w:pPr>
              <w:widowControl/>
              <w:numPr>
                <w:ilvl w:val="1"/>
                <w:numId w:val="10"/>
              </w:numPr>
              <w:wordWrap/>
              <w:autoSpaceDE/>
              <w:autoSpaceDN/>
              <w:jc w:val="left"/>
              <w:rPr>
                <w:rFonts w:ascii="Times New Roman"/>
                <w:iCs/>
                <w:sz w:val="22"/>
                <w:szCs w:val="22"/>
                <w:lang w:eastAsia="ja-JP"/>
              </w:rPr>
            </w:pPr>
            <w:r w:rsidRPr="000474BB">
              <w:rPr>
                <w:rFonts w:ascii="Times New Roman"/>
                <w:iCs/>
                <w:sz w:val="22"/>
                <w:szCs w:val="22"/>
                <w:lang w:eastAsia="ja-JP"/>
              </w:rPr>
              <w:t>FFS: potential restrictions (e.g., on combination of different numerology, on combination of different frequency bands)</w:t>
            </w:r>
          </w:p>
          <w:p w:rsidR="006E7583" w:rsidRPr="000474BB" w:rsidRDefault="006E7583" w:rsidP="006E7583">
            <w:pPr>
              <w:contextualSpacing/>
              <w:rPr>
                <w:rFonts w:ascii="Times New Roman"/>
                <w:b/>
                <w:iCs/>
                <w:sz w:val="22"/>
                <w:szCs w:val="22"/>
                <w:u w:val="single"/>
                <w:shd w:val="pct15" w:color="auto" w:fill="FFFFFF"/>
                <w:lang w:val="en-GB" w:eastAsia="ja-JP"/>
              </w:rPr>
            </w:pPr>
            <w:r w:rsidRPr="000474BB">
              <w:rPr>
                <w:rFonts w:ascii="Times New Roman"/>
                <w:b/>
                <w:sz w:val="22"/>
                <w:szCs w:val="22"/>
              </w:rPr>
              <w:t>[E-mail discussion summary]</w:t>
            </w:r>
          </w:p>
          <w:p w:rsidR="006E7583" w:rsidRPr="000474BB" w:rsidRDefault="006E7583" w:rsidP="006E7583">
            <w:pPr>
              <w:rPr>
                <w:rFonts w:ascii="Times New Roman"/>
                <w:b/>
                <w:iCs/>
                <w:sz w:val="22"/>
                <w:szCs w:val="22"/>
                <w:u w:val="single"/>
                <w:shd w:val="pct15" w:color="auto" w:fill="FFFFFF"/>
                <w:lang w:eastAsia="ja-JP"/>
              </w:rPr>
            </w:pPr>
            <w:r w:rsidRPr="000474BB">
              <w:rPr>
                <w:rFonts w:ascii="Times New Roman"/>
                <w:b/>
                <w:iCs/>
                <w:sz w:val="22"/>
                <w:szCs w:val="22"/>
                <w:u w:val="single"/>
                <w:shd w:val="pct15" w:color="auto" w:fill="FFFFFF"/>
                <w:lang w:eastAsia="ja-JP"/>
              </w:rPr>
              <w:t>Part one: Possible Agreements</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 xml:space="preserve">On the search space </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A UE monitors PDCCH candidates in common search space(s) at least for RMSI and UE specific search space(s) on Primary Component Carrier (PCC)</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A UE monitors PDCCH candidates at least on UE-specific search space(s) for an Secondary Component Carrier (SCC)</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 xml:space="preserve">Support cross carrier scheduling with CIF </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NR at least support that a carrier is scheduled by one and only one carrier</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FFS: the number of CIF bits</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FFS: BWP aspects for cross carrier scheduling</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For cross-carrier scheduling, PDCCH and the scheduled PDSCH can have the same or different numerologies.</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For self-scheduling, PDCCH and the scheduled PDSCH have the same numerology</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FFS whether for self-scheduling, PDCCH and the scheduled PDSCH can have different numerologies.</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For self and cross-carrier scheduling, PDCCH and the scheduled PUSCH can have the same or different numerologies.</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lastRenderedPageBreak/>
              <w:t>When numerology are different between PDCCH and the scheduled transmission, the time granularity indicated in the DCI for the timing relationship between the end of PDCCH and the corresponding scheduled transmission is based on the numerology of the scheduled transmission.</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For multiple timing advance groups</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LTE timing difference requirement can be used as a starting point</w:t>
            </w:r>
          </w:p>
          <w:p w:rsidR="006E7583" w:rsidRPr="000474BB" w:rsidRDefault="006E7583" w:rsidP="003D2FA9">
            <w:pPr>
              <w:widowControl/>
              <w:numPr>
                <w:ilvl w:val="2"/>
                <w:numId w:val="11"/>
              </w:numPr>
              <w:wordWrap/>
              <w:autoSpaceDE/>
              <w:autoSpaceDN/>
              <w:jc w:val="left"/>
              <w:rPr>
                <w:rFonts w:ascii="Times New Roman"/>
                <w:sz w:val="22"/>
                <w:szCs w:val="22"/>
                <w:lang w:eastAsia="ja-JP"/>
              </w:rPr>
            </w:pPr>
            <w:r w:rsidRPr="000474BB">
              <w:rPr>
                <w:rFonts w:ascii="Times New Roman"/>
                <w:sz w:val="22"/>
                <w:szCs w:val="22"/>
                <w:lang w:eastAsia="ja-JP"/>
              </w:rPr>
              <w:t>FFS factors related to this requirement.</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Support PRACH transmission for timing advance acquisition on SCC</w:t>
            </w:r>
          </w:p>
          <w:p w:rsidR="006E7583" w:rsidRPr="000474BB" w:rsidRDefault="006E7583" w:rsidP="003D2FA9">
            <w:pPr>
              <w:widowControl/>
              <w:numPr>
                <w:ilvl w:val="0"/>
                <w:numId w:val="11"/>
              </w:numPr>
              <w:tabs>
                <w:tab w:val="clear" w:pos="720"/>
                <w:tab w:val="num" w:pos="920"/>
                <w:tab w:val="left" w:pos="1440"/>
              </w:tabs>
              <w:wordWrap/>
              <w:autoSpaceDE/>
              <w:autoSpaceDN/>
              <w:ind w:leftChars="280" w:left="920"/>
              <w:jc w:val="left"/>
              <w:rPr>
                <w:rFonts w:ascii="Times New Roman"/>
                <w:sz w:val="22"/>
                <w:szCs w:val="22"/>
                <w:lang w:eastAsia="ja-JP"/>
              </w:rPr>
            </w:pPr>
            <w:r w:rsidRPr="000474BB">
              <w:rPr>
                <w:rFonts w:ascii="Times New Roman"/>
                <w:sz w:val="22"/>
                <w:szCs w:val="22"/>
                <w:lang w:eastAsia="ja-JP"/>
              </w:rPr>
              <w:t>NR Supports 2 cell groups for PUCCH for NR DC</w:t>
            </w:r>
          </w:p>
          <w:p w:rsidR="006E7583" w:rsidRPr="000474BB" w:rsidRDefault="006E7583" w:rsidP="003D2FA9">
            <w:pPr>
              <w:widowControl/>
              <w:numPr>
                <w:ilvl w:val="1"/>
                <w:numId w:val="11"/>
              </w:numPr>
              <w:tabs>
                <w:tab w:val="clear" w:pos="1440"/>
                <w:tab w:val="num" w:pos="1640"/>
              </w:tabs>
              <w:wordWrap/>
              <w:autoSpaceDE/>
              <w:autoSpaceDN/>
              <w:ind w:leftChars="640" w:left="1640"/>
              <w:jc w:val="left"/>
              <w:rPr>
                <w:rFonts w:ascii="Times New Roman"/>
                <w:sz w:val="22"/>
                <w:szCs w:val="22"/>
                <w:lang w:eastAsia="ja-JP"/>
              </w:rPr>
            </w:pPr>
            <w:r w:rsidRPr="000474BB">
              <w:rPr>
                <w:rFonts w:ascii="Times New Roman"/>
                <w:sz w:val="22"/>
                <w:szCs w:val="22"/>
                <w:lang w:eastAsia="ja-JP"/>
              </w:rPr>
              <w:t>FFS: NR supports 2 cell groups for PUCCH for NR CA</w:t>
            </w:r>
          </w:p>
          <w:p w:rsidR="006E7583" w:rsidRPr="000474BB" w:rsidRDefault="006E7583" w:rsidP="006E7583">
            <w:pPr>
              <w:rPr>
                <w:rFonts w:ascii="Times New Roman"/>
                <w:b/>
                <w:iCs/>
                <w:sz w:val="22"/>
                <w:szCs w:val="22"/>
                <w:u w:val="single"/>
                <w:shd w:val="pct15" w:color="auto" w:fill="FFFFFF"/>
                <w:lang w:eastAsia="ja-JP"/>
              </w:rPr>
            </w:pPr>
            <w:r w:rsidRPr="000474BB">
              <w:rPr>
                <w:rFonts w:ascii="Times New Roman"/>
                <w:b/>
                <w:iCs/>
                <w:sz w:val="22"/>
                <w:szCs w:val="22"/>
                <w:u w:val="single"/>
                <w:shd w:val="pct15" w:color="auto" w:fill="FFFFFF"/>
                <w:lang w:eastAsia="ja-JP"/>
              </w:rPr>
              <w:t>RAN1 #90 Agreements:</w:t>
            </w:r>
          </w:p>
          <w:p w:rsidR="006E7583" w:rsidRPr="000474BB" w:rsidRDefault="006E7583" w:rsidP="003D2FA9">
            <w:pPr>
              <w:widowControl/>
              <w:numPr>
                <w:ilvl w:val="0"/>
                <w:numId w:val="11"/>
              </w:numPr>
              <w:tabs>
                <w:tab w:val="left" w:pos="1440"/>
              </w:tabs>
              <w:wordWrap/>
              <w:autoSpaceDE/>
              <w:autoSpaceDN/>
              <w:jc w:val="left"/>
              <w:rPr>
                <w:rFonts w:ascii="Times New Roman"/>
                <w:sz w:val="22"/>
                <w:szCs w:val="22"/>
                <w:lang w:eastAsia="ja-JP"/>
              </w:rPr>
            </w:pPr>
            <w:r w:rsidRPr="000474BB">
              <w:rPr>
                <w:rFonts w:ascii="Times New Roman"/>
                <w:sz w:val="22"/>
                <w:szCs w:val="22"/>
                <w:lang w:eastAsia="ja-JP"/>
              </w:rPr>
              <w:t>Confirm the WA at RAN1 NR AH#2</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HARQ-ACK transmission related to multiple DL component carriers is supported for DL component carriers operating with the same and different numerology</w:t>
            </w:r>
          </w:p>
          <w:p w:rsidR="006E7583" w:rsidRPr="000474BB" w:rsidRDefault="006E7583" w:rsidP="003D2FA9">
            <w:pPr>
              <w:widowControl/>
              <w:numPr>
                <w:ilvl w:val="2"/>
                <w:numId w:val="11"/>
              </w:numPr>
              <w:tabs>
                <w:tab w:val="left" w:pos="1440"/>
                <w:tab w:val="num" w:pos="1800"/>
              </w:tabs>
              <w:wordWrap/>
              <w:autoSpaceDE/>
              <w:autoSpaceDN/>
              <w:jc w:val="left"/>
              <w:rPr>
                <w:rFonts w:ascii="Times New Roman"/>
                <w:sz w:val="22"/>
                <w:szCs w:val="22"/>
                <w:lang w:eastAsia="ja-JP"/>
              </w:rPr>
            </w:pPr>
            <w:r w:rsidRPr="000474BB">
              <w:rPr>
                <w:rFonts w:ascii="Times New Roman"/>
                <w:sz w:val="22"/>
                <w:szCs w:val="22"/>
                <w:lang w:eastAsia="ja-JP"/>
              </w:rPr>
              <w:t>The time granularity of a HARQ-ACK transmission on PUCCH, indicated in the DCI scheduling the PDSCH, is based on the numerology of PUCCH transmission</w:t>
            </w:r>
          </w:p>
          <w:p w:rsidR="006E7583" w:rsidRPr="000474BB" w:rsidRDefault="006E7583" w:rsidP="003D2FA9">
            <w:pPr>
              <w:widowControl/>
              <w:numPr>
                <w:ilvl w:val="0"/>
                <w:numId w:val="11"/>
              </w:numPr>
              <w:tabs>
                <w:tab w:val="left" w:pos="1440"/>
              </w:tabs>
              <w:wordWrap/>
              <w:autoSpaceDE/>
              <w:autoSpaceDN/>
              <w:jc w:val="left"/>
              <w:rPr>
                <w:rFonts w:ascii="Times New Roman"/>
                <w:sz w:val="22"/>
                <w:szCs w:val="22"/>
                <w:lang w:eastAsia="ja-JP"/>
              </w:rPr>
            </w:pPr>
            <w:r w:rsidRPr="000474BB">
              <w:rPr>
                <w:rFonts w:ascii="Times New Roman"/>
                <w:sz w:val="22"/>
                <w:szCs w:val="22"/>
                <w:lang w:eastAsia="ja-JP"/>
              </w:rPr>
              <w:t>FFS: For cross-carrier scheduling, support the following functionalities</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Multi-slot scheduling (i.e., one DCI schedules N slots with N TBs)</w:t>
            </w:r>
          </w:p>
          <w:p w:rsidR="006E7583" w:rsidRPr="000474BB" w:rsidRDefault="006E7583" w:rsidP="003D2FA9">
            <w:pPr>
              <w:widowControl/>
              <w:numPr>
                <w:ilvl w:val="0"/>
                <w:numId w:val="11"/>
              </w:numPr>
              <w:tabs>
                <w:tab w:val="left" w:pos="1440"/>
              </w:tabs>
              <w:wordWrap/>
              <w:autoSpaceDE/>
              <w:autoSpaceDN/>
              <w:jc w:val="left"/>
              <w:rPr>
                <w:rFonts w:ascii="Times New Roman"/>
                <w:sz w:val="22"/>
                <w:szCs w:val="22"/>
                <w:lang w:eastAsia="ja-JP"/>
              </w:rPr>
            </w:pPr>
            <w:r w:rsidRPr="000474BB">
              <w:rPr>
                <w:rFonts w:ascii="Times New Roman"/>
                <w:sz w:val="22"/>
                <w:szCs w:val="22"/>
                <w:lang w:eastAsia="ja-JP"/>
              </w:rPr>
              <w:t>For NR CA, for the scenario that all the carriers are 15Khz, around [32.47us] maximum uplink timing difference between two TAGs should be assumed in NR</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Granularity of TA for SCS = 15kHz is same as LTE</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Maximum number of TAGs is 4</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Note: final decision of the maximum timing difference is up to RAN4</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FFS: for other scenarios</w:t>
            </w:r>
          </w:p>
          <w:p w:rsidR="006E7583" w:rsidRPr="000474BB" w:rsidRDefault="006E7583" w:rsidP="003D2FA9">
            <w:pPr>
              <w:widowControl/>
              <w:numPr>
                <w:ilvl w:val="0"/>
                <w:numId w:val="11"/>
              </w:numPr>
              <w:tabs>
                <w:tab w:val="left" w:pos="1440"/>
              </w:tabs>
              <w:wordWrap/>
              <w:autoSpaceDE/>
              <w:autoSpaceDN/>
              <w:jc w:val="left"/>
              <w:rPr>
                <w:rFonts w:ascii="Times New Roman"/>
                <w:sz w:val="22"/>
                <w:szCs w:val="22"/>
                <w:lang w:eastAsia="ja-JP"/>
              </w:rPr>
            </w:pPr>
            <w:r w:rsidRPr="000474BB">
              <w:rPr>
                <w:rFonts w:ascii="Times New Roman"/>
                <w:sz w:val="22"/>
                <w:szCs w:val="22"/>
                <w:lang w:eastAsia="ja-JP"/>
              </w:rPr>
              <w:t>For NR CA, both semi-static and dynamic HARQ-ACK codebook are supported</w:t>
            </w:r>
          </w:p>
          <w:p w:rsidR="006E7583" w:rsidRPr="000474BB" w:rsidRDefault="006E7583" w:rsidP="003D2FA9">
            <w:pPr>
              <w:widowControl/>
              <w:numPr>
                <w:ilvl w:val="0"/>
                <w:numId w:val="11"/>
              </w:numPr>
              <w:tabs>
                <w:tab w:val="left" w:pos="1440"/>
              </w:tabs>
              <w:wordWrap/>
              <w:autoSpaceDE/>
              <w:autoSpaceDN/>
              <w:jc w:val="left"/>
              <w:rPr>
                <w:rFonts w:ascii="Times New Roman"/>
                <w:sz w:val="22"/>
                <w:szCs w:val="22"/>
                <w:lang w:eastAsia="ja-JP"/>
              </w:rPr>
            </w:pPr>
            <w:r w:rsidRPr="000474BB">
              <w:rPr>
                <w:rFonts w:ascii="Times New Roman"/>
                <w:sz w:val="22"/>
                <w:szCs w:val="22"/>
                <w:lang w:eastAsia="ja-JP"/>
              </w:rPr>
              <w:t>NR supports 2 cell groups for PUCCH for NR CA</w:t>
            </w:r>
          </w:p>
          <w:p w:rsidR="006E7583" w:rsidRPr="000474BB" w:rsidRDefault="006E7583" w:rsidP="003D2FA9">
            <w:pPr>
              <w:widowControl/>
              <w:numPr>
                <w:ilvl w:val="1"/>
                <w:numId w:val="11"/>
              </w:numPr>
              <w:tabs>
                <w:tab w:val="num" w:pos="1080"/>
                <w:tab w:val="left" w:pos="1440"/>
              </w:tabs>
              <w:wordWrap/>
              <w:autoSpaceDE/>
              <w:autoSpaceDN/>
              <w:jc w:val="left"/>
              <w:rPr>
                <w:rFonts w:ascii="Times New Roman"/>
                <w:sz w:val="22"/>
                <w:szCs w:val="22"/>
                <w:lang w:eastAsia="ja-JP"/>
              </w:rPr>
            </w:pPr>
            <w:r w:rsidRPr="000474BB">
              <w:rPr>
                <w:rFonts w:ascii="Times New Roman"/>
                <w:sz w:val="22"/>
                <w:szCs w:val="22"/>
                <w:lang w:eastAsia="ja-JP"/>
              </w:rPr>
              <w:t>NR supports at least the configuration of one carrier transmitting the PUCCH within the cell group</w:t>
            </w:r>
          </w:p>
          <w:p w:rsidR="0084715F" w:rsidRDefault="006E7583" w:rsidP="00B74435">
            <w:pPr>
              <w:widowControl/>
              <w:tabs>
                <w:tab w:val="left" w:pos="1440"/>
              </w:tabs>
              <w:wordWrap/>
              <w:autoSpaceDE/>
              <w:autoSpaceDN/>
              <w:ind w:left="720"/>
              <w:jc w:val="left"/>
              <w:rPr>
                <w:rFonts w:ascii="Times New Roman"/>
                <w:sz w:val="22"/>
                <w:szCs w:val="22"/>
                <w:lang w:eastAsia="ja-JP"/>
              </w:rPr>
            </w:pPr>
            <w:r w:rsidRPr="000474BB">
              <w:rPr>
                <w:rFonts w:ascii="Times New Roman"/>
                <w:sz w:val="22"/>
                <w:szCs w:val="22"/>
                <w:lang w:eastAsia="ja-JP"/>
              </w:rPr>
              <w:t>FFS The carrier transmitting the PUCCH is always PCC and/or carrier(s) transmitting the PUCCH can be SCC in a cell group containing PCC</w:t>
            </w:r>
          </w:p>
          <w:p w:rsidR="006F718D" w:rsidRPr="006F718D" w:rsidRDefault="006F718D" w:rsidP="006F718D">
            <w:pPr>
              <w:rPr>
                <w:rFonts w:ascii="Times New Roman"/>
                <w:b/>
                <w:iCs/>
                <w:sz w:val="22"/>
                <w:szCs w:val="22"/>
                <w:u w:val="single"/>
                <w:shd w:val="pct15" w:color="auto" w:fill="FFFFFF"/>
                <w:lang w:eastAsia="ja-JP"/>
              </w:rPr>
            </w:pPr>
            <w:r w:rsidRPr="006F718D">
              <w:rPr>
                <w:rFonts w:ascii="Times New Roman"/>
                <w:b/>
                <w:iCs/>
                <w:sz w:val="22"/>
                <w:szCs w:val="22"/>
                <w:u w:val="single"/>
                <w:shd w:val="pct15" w:color="auto" w:fill="FFFFFF"/>
                <w:lang w:eastAsia="ja-JP"/>
              </w:rPr>
              <w:t>Agreements:</w:t>
            </w:r>
            <w:r w:rsidR="00BF06E8">
              <w:rPr>
                <w:rFonts w:ascii="Times New Roman"/>
                <w:b/>
                <w:iCs/>
                <w:sz w:val="22"/>
                <w:szCs w:val="22"/>
                <w:u w:val="single"/>
                <w:shd w:val="pct15" w:color="auto" w:fill="FFFFFF"/>
                <w:lang w:eastAsia="ja-JP"/>
              </w:rPr>
              <w:t xml:space="preserve"> RAN</w:t>
            </w:r>
            <w:r>
              <w:rPr>
                <w:rFonts w:ascii="Times New Roman"/>
                <w:b/>
                <w:iCs/>
                <w:sz w:val="22"/>
                <w:szCs w:val="22"/>
                <w:u w:val="single"/>
                <w:shd w:val="pct15" w:color="auto" w:fill="FFFFFF"/>
                <w:lang w:eastAsia="ja-JP"/>
              </w:rPr>
              <w:t>1#90-bis</w:t>
            </w:r>
          </w:p>
          <w:p w:rsidR="006F718D" w:rsidRPr="009C79C0" w:rsidRDefault="006F718D" w:rsidP="003D2FA9">
            <w:pPr>
              <w:widowControl/>
              <w:numPr>
                <w:ilvl w:val="0"/>
                <w:numId w:val="14"/>
              </w:numPr>
              <w:tabs>
                <w:tab w:val="left" w:pos="720"/>
              </w:tabs>
              <w:wordWrap/>
              <w:autoSpaceDE/>
              <w:autoSpaceDN/>
              <w:jc w:val="left"/>
              <w:rPr>
                <w:rFonts w:ascii="Times" w:hAnsi="Times"/>
                <w:kern w:val="0"/>
                <w:szCs w:val="20"/>
                <w:lang w:val="en-GB" w:eastAsia="en-US"/>
              </w:rPr>
            </w:pPr>
            <w:r w:rsidRPr="009C79C0">
              <w:rPr>
                <w:rFonts w:ascii="Times" w:hAnsi="Times"/>
                <w:kern w:val="0"/>
                <w:szCs w:val="20"/>
                <w:lang w:val="en-GB" w:eastAsia="en-US"/>
              </w:rPr>
              <w:t>The following working assumption is confirmed:</w:t>
            </w:r>
          </w:p>
          <w:p w:rsidR="006F718D" w:rsidRPr="009C79C0" w:rsidRDefault="006F718D" w:rsidP="003D2FA9">
            <w:pPr>
              <w:widowControl/>
              <w:numPr>
                <w:ilvl w:val="1"/>
                <w:numId w:val="14"/>
              </w:numPr>
              <w:tabs>
                <w:tab w:val="left" w:pos="720"/>
              </w:tabs>
              <w:wordWrap/>
              <w:autoSpaceDE/>
              <w:autoSpaceDN/>
              <w:jc w:val="left"/>
              <w:rPr>
                <w:rFonts w:ascii="Times" w:hAnsi="Times"/>
                <w:kern w:val="0"/>
                <w:szCs w:val="20"/>
                <w:lang w:val="en-GB" w:eastAsia="en-US"/>
              </w:rPr>
            </w:pPr>
            <w:r w:rsidRPr="009C79C0">
              <w:rPr>
                <w:rFonts w:ascii="Times" w:hAnsi="Times"/>
                <w:kern w:val="0"/>
                <w:szCs w:val="20"/>
                <w:lang w:val="en-GB" w:eastAsia="en-US"/>
              </w:rPr>
              <w:t>In case of cross-carrier scheduling, UESS search spaces for the scheduling cell and for the scheduled cell(s) are separated by offset(s) if they are in the same CORESET</w:t>
            </w:r>
          </w:p>
          <w:p w:rsidR="006F718D" w:rsidRPr="009C79C0" w:rsidRDefault="006F718D" w:rsidP="003D2FA9">
            <w:pPr>
              <w:widowControl/>
              <w:numPr>
                <w:ilvl w:val="2"/>
                <w:numId w:val="14"/>
              </w:numPr>
              <w:wordWrap/>
              <w:autoSpaceDE/>
              <w:autoSpaceDN/>
              <w:jc w:val="left"/>
              <w:rPr>
                <w:rFonts w:ascii="Times" w:hAnsi="Times"/>
                <w:kern w:val="0"/>
                <w:szCs w:val="20"/>
                <w:lang w:val="en-GB" w:eastAsia="en-US"/>
              </w:rPr>
            </w:pPr>
            <w:r w:rsidRPr="009C79C0">
              <w:rPr>
                <w:rFonts w:ascii="Times" w:hAnsi="Times"/>
                <w:kern w:val="0"/>
                <w:szCs w:val="20"/>
                <w:lang w:val="en-GB" w:eastAsia="en-US"/>
              </w:rPr>
              <w:t>The offset(s) depends on CIF</w:t>
            </w:r>
          </w:p>
          <w:p w:rsidR="006F718D" w:rsidRPr="009C79C0" w:rsidRDefault="006F718D" w:rsidP="003D2FA9">
            <w:pPr>
              <w:widowControl/>
              <w:numPr>
                <w:ilvl w:val="2"/>
                <w:numId w:val="14"/>
              </w:numPr>
              <w:wordWrap/>
              <w:autoSpaceDE/>
              <w:autoSpaceDN/>
              <w:jc w:val="left"/>
              <w:rPr>
                <w:rFonts w:ascii="Times" w:hAnsi="Times"/>
                <w:kern w:val="0"/>
                <w:szCs w:val="20"/>
                <w:lang w:val="en-GB" w:eastAsia="en-US"/>
              </w:rPr>
            </w:pPr>
            <w:r w:rsidRPr="009C79C0">
              <w:rPr>
                <w:rFonts w:ascii="Times" w:hAnsi="Times"/>
                <w:kern w:val="0"/>
                <w:szCs w:val="20"/>
                <w:lang w:val="en-GB" w:eastAsia="en-US"/>
              </w:rPr>
              <w:t>FFS details</w:t>
            </w:r>
          </w:p>
          <w:p w:rsidR="006F718D" w:rsidRPr="009C79C0" w:rsidRDefault="006F718D" w:rsidP="003D2FA9">
            <w:pPr>
              <w:widowControl/>
              <w:numPr>
                <w:ilvl w:val="2"/>
                <w:numId w:val="14"/>
              </w:numPr>
              <w:wordWrap/>
              <w:autoSpaceDE/>
              <w:autoSpaceDN/>
              <w:jc w:val="left"/>
              <w:rPr>
                <w:rFonts w:ascii="Times" w:hAnsi="Times"/>
                <w:kern w:val="0"/>
                <w:szCs w:val="20"/>
                <w:lang w:val="en-GB" w:eastAsia="en-US"/>
              </w:rPr>
            </w:pPr>
            <w:r w:rsidRPr="009C79C0">
              <w:rPr>
                <w:rFonts w:ascii="Times" w:hAnsi="Times"/>
                <w:kern w:val="0"/>
                <w:szCs w:val="20"/>
                <w:lang w:val="en-GB" w:eastAsia="en-US"/>
              </w:rPr>
              <w:t>FFS the case of same DCI size (whether to have shared search space or not)</w:t>
            </w:r>
          </w:p>
          <w:p w:rsidR="006F718D" w:rsidRPr="006F718D" w:rsidRDefault="006F718D" w:rsidP="006F718D">
            <w:pPr>
              <w:rPr>
                <w:rFonts w:ascii="Times New Roman"/>
                <w:b/>
                <w:iCs/>
                <w:sz w:val="22"/>
                <w:szCs w:val="22"/>
                <w:u w:val="single"/>
                <w:shd w:val="pct15" w:color="auto" w:fill="FFFFFF"/>
                <w:lang w:eastAsia="ja-JP"/>
              </w:rPr>
            </w:pPr>
            <w:r w:rsidRPr="006F718D">
              <w:rPr>
                <w:rFonts w:ascii="Times New Roman"/>
                <w:b/>
                <w:iCs/>
                <w:sz w:val="22"/>
                <w:szCs w:val="22"/>
                <w:u w:val="single"/>
                <w:shd w:val="pct15" w:color="auto" w:fill="FFFFFF"/>
                <w:lang w:eastAsia="ja-JP"/>
              </w:rPr>
              <w:t>Agreements:</w:t>
            </w:r>
            <w:r>
              <w:rPr>
                <w:rFonts w:ascii="Times New Roman"/>
                <w:b/>
                <w:iCs/>
                <w:sz w:val="22"/>
                <w:szCs w:val="22"/>
                <w:u w:val="single"/>
                <w:shd w:val="pct15" w:color="auto" w:fill="FFFFFF"/>
                <w:lang w:eastAsia="ja-JP"/>
              </w:rPr>
              <w:t xml:space="preserve"> </w:t>
            </w:r>
            <w:r w:rsidR="00BF06E8">
              <w:rPr>
                <w:rFonts w:ascii="Times New Roman"/>
                <w:b/>
                <w:iCs/>
                <w:sz w:val="22"/>
                <w:szCs w:val="22"/>
                <w:u w:val="single"/>
                <w:shd w:val="pct15" w:color="auto" w:fill="FFFFFF"/>
                <w:lang w:eastAsia="ja-JP"/>
              </w:rPr>
              <w:t>RAN1#90-bis</w:t>
            </w:r>
          </w:p>
          <w:p w:rsidR="006F718D" w:rsidRPr="009C79C0" w:rsidRDefault="006F718D" w:rsidP="003D2FA9">
            <w:pPr>
              <w:widowControl/>
              <w:numPr>
                <w:ilvl w:val="0"/>
                <w:numId w:val="15"/>
              </w:numPr>
              <w:wordWrap/>
              <w:autoSpaceDE/>
              <w:autoSpaceDN/>
              <w:jc w:val="left"/>
              <w:rPr>
                <w:rFonts w:ascii="Times" w:hAnsi="Times"/>
                <w:kern w:val="0"/>
                <w:szCs w:val="20"/>
                <w:lang w:eastAsia="en-US"/>
              </w:rPr>
            </w:pPr>
            <w:r w:rsidRPr="009C79C0">
              <w:rPr>
                <w:rFonts w:ascii="Times" w:hAnsi="Times"/>
                <w:kern w:val="0"/>
                <w:szCs w:val="20"/>
                <w:lang w:eastAsia="en-US"/>
              </w:rPr>
              <w:t>When a UE is configured for cross-carrier DL/UL scheduling, CIF is present in DL/UL scheduling DCIs for both the serving cell under self-scheduling and the serving cells being cross-carrier scheduled</w:t>
            </w:r>
          </w:p>
          <w:p w:rsidR="006F718D" w:rsidRPr="009C79C0" w:rsidRDefault="006F718D" w:rsidP="003D2FA9">
            <w:pPr>
              <w:widowControl/>
              <w:numPr>
                <w:ilvl w:val="1"/>
                <w:numId w:val="15"/>
              </w:numPr>
              <w:wordWrap/>
              <w:autoSpaceDE/>
              <w:autoSpaceDN/>
              <w:jc w:val="left"/>
              <w:rPr>
                <w:rFonts w:ascii="Times" w:hAnsi="Times"/>
                <w:kern w:val="0"/>
                <w:szCs w:val="20"/>
                <w:lang w:eastAsia="en-US"/>
              </w:rPr>
            </w:pPr>
            <w:r w:rsidRPr="009C79C0">
              <w:rPr>
                <w:rFonts w:ascii="Times" w:hAnsi="Times"/>
                <w:kern w:val="0"/>
                <w:szCs w:val="20"/>
                <w:lang w:eastAsia="en-US"/>
              </w:rPr>
              <w:t>FFS whether CIF is present or not in other DCI cases</w:t>
            </w:r>
          </w:p>
          <w:p w:rsidR="006F718D" w:rsidRPr="006F718D" w:rsidRDefault="006F718D" w:rsidP="006F718D">
            <w:pPr>
              <w:rPr>
                <w:rFonts w:ascii="Times New Roman"/>
                <w:b/>
                <w:iCs/>
                <w:sz w:val="22"/>
                <w:szCs w:val="22"/>
                <w:u w:val="single"/>
                <w:shd w:val="pct15" w:color="auto" w:fill="FFFFFF"/>
                <w:lang w:eastAsia="ja-JP"/>
              </w:rPr>
            </w:pPr>
            <w:r w:rsidRPr="006F718D">
              <w:rPr>
                <w:rFonts w:ascii="Times New Roman"/>
                <w:b/>
                <w:iCs/>
                <w:sz w:val="22"/>
                <w:szCs w:val="22"/>
                <w:u w:val="single"/>
                <w:shd w:val="pct15" w:color="auto" w:fill="FFFFFF"/>
                <w:lang w:eastAsia="ja-JP"/>
              </w:rPr>
              <w:t>Agreements:</w:t>
            </w:r>
            <w:r>
              <w:rPr>
                <w:rFonts w:ascii="Times New Roman"/>
                <w:b/>
                <w:iCs/>
                <w:sz w:val="22"/>
                <w:szCs w:val="22"/>
                <w:u w:val="single"/>
                <w:shd w:val="pct15" w:color="auto" w:fill="FFFFFF"/>
                <w:lang w:eastAsia="ja-JP"/>
              </w:rPr>
              <w:t xml:space="preserve"> </w:t>
            </w:r>
            <w:r w:rsidR="00BF06E8">
              <w:rPr>
                <w:rFonts w:ascii="Times New Roman"/>
                <w:b/>
                <w:iCs/>
                <w:sz w:val="22"/>
                <w:szCs w:val="22"/>
                <w:u w:val="single"/>
                <w:shd w:val="pct15" w:color="auto" w:fill="FFFFFF"/>
                <w:lang w:eastAsia="ja-JP"/>
              </w:rPr>
              <w:t>RAN1#90-bis</w:t>
            </w:r>
          </w:p>
          <w:p w:rsidR="006F718D" w:rsidRPr="00B83819" w:rsidRDefault="006F718D" w:rsidP="003D2FA9">
            <w:pPr>
              <w:widowControl/>
              <w:numPr>
                <w:ilvl w:val="0"/>
                <w:numId w:val="16"/>
              </w:numPr>
              <w:wordWrap/>
              <w:autoSpaceDE/>
              <w:autoSpaceDN/>
              <w:jc w:val="left"/>
              <w:rPr>
                <w:rFonts w:ascii="Times" w:hAnsi="Times"/>
                <w:kern w:val="0"/>
                <w:szCs w:val="20"/>
                <w:lang w:eastAsia="en-US"/>
              </w:rPr>
            </w:pPr>
            <w:r w:rsidRPr="00B83819">
              <w:rPr>
                <w:rFonts w:ascii="Times" w:hAnsi="Times"/>
                <w:kern w:val="0"/>
                <w:szCs w:val="20"/>
                <w:lang w:eastAsia="en-US"/>
              </w:rPr>
              <w:t>Maximum number of TAGs is 4 for a UE</w:t>
            </w:r>
          </w:p>
          <w:p w:rsidR="006F718D" w:rsidRPr="00B83819" w:rsidRDefault="006F718D" w:rsidP="003D2FA9">
            <w:pPr>
              <w:widowControl/>
              <w:numPr>
                <w:ilvl w:val="0"/>
                <w:numId w:val="16"/>
              </w:numPr>
              <w:wordWrap/>
              <w:autoSpaceDE/>
              <w:autoSpaceDN/>
              <w:jc w:val="left"/>
              <w:rPr>
                <w:rFonts w:ascii="Times" w:hAnsi="Times"/>
                <w:kern w:val="0"/>
                <w:szCs w:val="20"/>
                <w:lang w:eastAsia="en-US"/>
              </w:rPr>
            </w:pPr>
            <w:r w:rsidRPr="00B83819">
              <w:rPr>
                <w:rFonts w:ascii="Times" w:hAnsi="Times"/>
                <w:kern w:val="0"/>
                <w:szCs w:val="20"/>
                <w:lang w:eastAsia="en-US"/>
              </w:rPr>
              <w:t>Only non-contention based random access for sTAGs</w:t>
            </w:r>
          </w:p>
          <w:p w:rsidR="006F718D" w:rsidRPr="006F718D" w:rsidRDefault="006F718D" w:rsidP="006F718D">
            <w:pPr>
              <w:rPr>
                <w:rFonts w:ascii="Times New Roman"/>
                <w:b/>
                <w:iCs/>
                <w:sz w:val="22"/>
                <w:szCs w:val="22"/>
                <w:u w:val="single"/>
                <w:shd w:val="pct15" w:color="auto" w:fill="FFFFFF"/>
                <w:lang w:eastAsia="ja-JP"/>
              </w:rPr>
            </w:pPr>
            <w:r w:rsidRPr="006F718D">
              <w:rPr>
                <w:rFonts w:ascii="Times New Roman"/>
                <w:b/>
                <w:iCs/>
                <w:sz w:val="22"/>
                <w:szCs w:val="22"/>
                <w:u w:val="single"/>
                <w:shd w:val="pct15" w:color="auto" w:fill="FFFFFF"/>
                <w:lang w:eastAsia="ja-JP"/>
              </w:rPr>
              <w:t>Agreements:</w:t>
            </w:r>
            <w:r>
              <w:rPr>
                <w:rFonts w:ascii="Times New Roman"/>
                <w:b/>
                <w:iCs/>
                <w:sz w:val="22"/>
                <w:szCs w:val="22"/>
                <w:u w:val="single"/>
                <w:shd w:val="pct15" w:color="auto" w:fill="FFFFFF"/>
                <w:lang w:eastAsia="ja-JP"/>
              </w:rPr>
              <w:t xml:space="preserve"> </w:t>
            </w:r>
            <w:r w:rsidR="00BF06E8">
              <w:rPr>
                <w:rFonts w:ascii="Times New Roman"/>
                <w:b/>
                <w:iCs/>
                <w:sz w:val="22"/>
                <w:szCs w:val="22"/>
                <w:u w:val="single"/>
                <w:shd w:val="pct15" w:color="auto" w:fill="FFFFFF"/>
                <w:lang w:eastAsia="ja-JP"/>
              </w:rPr>
              <w:t>RAN1#90-bis</w:t>
            </w:r>
          </w:p>
          <w:p w:rsidR="006F718D" w:rsidRPr="003D44F1" w:rsidRDefault="006F718D" w:rsidP="003D2FA9">
            <w:pPr>
              <w:widowControl/>
              <w:numPr>
                <w:ilvl w:val="0"/>
                <w:numId w:val="17"/>
              </w:numPr>
              <w:wordWrap/>
              <w:autoSpaceDE/>
              <w:autoSpaceDN/>
              <w:spacing w:after="180"/>
              <w:ind w:left="360"/>
              <w:contextualSpacing/>
              <w:jc w:val="left"/>
              <w:rPr>
                <w:rFonts w:ascii="Times" w:hAnsi="Times" w:cs="Times"/>
                <w:lang w:eastAsia="x-none"/>
              </w:rPr>
            </w:pPr>
            <w:r w:rsidRPr="003D44F1">
              <w:rPr>
                <w:rFonts w:ascii="Times" w:hAnsi="Times" w:cs="Times"/>
                <w:lang w:eastAsia="x-none"/>
              </w:rPr>
              <w:t xml:space="preserve">Maximum size of TA command for MAC-CE is 6 (as a </w:t>
            </w:r>
            <w:r w:rsidRPr="003D44F1">
              <w:rPr>
                <w:rFonts w:ascii="Times" w:hAnsi="Times" w:cs="Times"/>
                <w:highlight w:val="darkYellow"/>
                <w:lang w:eastAsia="x-none"/>
              </w:rPr>
              <w:t>working assumption</w:t>
            </w:r>
            <w:r w:rsidRPr="003D44F1">
              <w:rPr>
                <w:rFonts w:ascii="Times" w:hAnsi="Times" w:cs="Times"/>
                <w:lang w:eastAsia="x-none"/>
              </w:rPr>
              <w:t>) bits.</w:t>
            </w:r>
          </w:p>
          <w:p w:rsidR="006F718D" w:rsidRPr="003D44F1" w:rsidRDefault="006F718D" w:rsidP="003D2FA9">
            <w:pPr>
              <w:widowControl/>
              <w:numPr>
                <w:ilvl w:val="0"/>
                <w:numId w:val="17"/>
              </w:numPr>
              <w:wordWrap/>
              <w:autoSpaceDE/>
              <w:autoSpaceDN/>
              <w:spacing w:after="180"/>
              <w:ind w:left="360"/>
              <w:contextualSpacing/>
              <w:jc w:val="left"/>
              <w:rPr>
                <w:rFonts w:ascii="Times" w:hAnsi="Times" w:cs="Times"/>
                <w:lang w:eastAsia="x-none"/>
              </w:rPr>
            </w:pPr>
            <w:r w:rsidRPr="003D44F1">
              <w:rPr>
                <w:rFonts w:ascii="Times" w:hAnsi="Times" w:cs="Times"/>
                <w:lang w:eastAsia="x-none"/>
              </w:rPr>
              <w:t xml:space="preserve">For the timing advance in MAC-CE, its granularity depends on: </w:t>
            </w:r>
          </w:p>
          <w:p w:rsidR="006F718D" w:rsidRPr="003D44F1" w:rsidRDefault="006F718D" w:rsidP="003D2FA9">
            <w:pPr>
              <w:widowControl/>
              <w:numPr>
                <w:ilvl w:val="1"/>
                <w:numId w:val="17"/>
              </w:numPr>
              <w:wordWrap/>
              <w:autoSpaceDE/>
              <w:autoSpaceDN/>
              <w:spacing w:after="180"/>
              <w:ind w:leftChars="91" w:left="542"/>
              <w:contextualSpacing/>
              <w:jc w:val="left"/>
              <w:rPr>
                <w:rFonts w:ascii="Times" w:hAnsi="Times" w:cs="Times"/>
                <w:lang w:eastAsia="x-none"/>
              </w:rPr>
            </w:pPr>
            <w:r w:rsidRPr="003D44F1">
              <w:rPr>
                <w:rFonts w:ascii="Times" w:hAnsi="Times" w:cs="Times"/>
                <w:lang w:eastAsia="x-none"/>
              </w:rPr>
              <w:t>Subcarrier spacing of the UL BWP in the TAG that the TA in MAC-CE applies to, if there is only one configured UL BWP in the TAG, as shown in Table 1.</w:t>
            </w:r>
          </w:p>
          <w:p w:rsidR="006F718D" w:rsidRPr="003D44F1" w:rsidRDefault="006F718D" w:rsidP="003D2FA9">
            <w:pPr>
              <w:widowControl/>
              <w:numPr>
                <w:ilvl w:val="1"/>
                <w:numId w:val="17"/>
              </w:numPr>
              <w:wordWrap/>
              <w:autoSpaceDE/>
              <w:autoSpaceDN/>
              <w:spacing w:after="180"/>
              <w:ind w:leftChars="91" w:left="542"/>
              <w:contextualSpacing/>
              <w:jc w:val="left"/>
              <w:rPr>
                <w:rFonts w:ascii="Times" w:hAnsi="Times" w:cs="Times"/>
                <w:lang w:eastAsia="x-none"/>
              </w:rPr>
            </w:pPr>
            <w:r w:rsidRPr="003D44F1">
              <w:rPr>
                <w:rFonts w:ascii="Times" w:hAnsi="Times" w:cs="Times"/>
                <w:lang w:eastAsia="x-none"/>
              </w:rPr>
              <w:t>Following alternatives for multiple configured UL BWPs in the TAG:</w:t>
            </w:r>
          </w:p>
          <w:p w:rsidR="006F718D" w:rsidRPr="003D44F1" w:rsidRDefault="006F718D" w:rsidP="003D2FA9">
            <w:pPr>
              <w:widowControl/>
              <w:numPr>
                <w:ilvl w:val="2"/>
                <w:numId w:val="17"/>
              </w:numPr>
              <w:wordWrap/>
              <w:autoSpaceDE/>
              <w:autoSpaceDN/>
              <w:spacing w:after="180"/>
              <w:ind w:leftChars="500" w:left="1180"/>
              <w:contextualSpacing/>
              <w:jc w:val="left"/>
              <w:rPr>
                <w:rFonts w:ascii="Times" w:hAnsi="Times" w:cs="Times"/>
                <w:lang w:eastAsia="x-none"/>
              </w:rPr>
            </w:pPr>
            <w:r w:rsidRPr="003D44F1">
              <w:rPr>
                <w:rFonts w:ascii="Times" w:hAnsi="Times" w:cs="Times"/>
                <w:lang w:eastAsia="x-none"/>
              </w:rPr>
              <w:t>Alt 1: Maximum Subcarrier spacing of all semi-statically configured UL within the TAG, e.g., UL BWP, SUL, CC</w:t>
            </w:r>
          </w:p>
          <w:p w:rsidR="006F718D" w:rsidRPr="003D44F1" w:rsidRDefault="006F718D" w:rsidP="003D2FA9">
            <w:pPr>
              <w:widowControl/>
              <w:numPr>
                <w:ilvl w:val="2"/>
                <w:numId w:val="17"/>
              </w:numPr>
              <w:wordWrap/>
              <w:autoSpaceDE/>
              <w:autoSpaceDN/>
              <w:spacing w:after="180"/>
              <w:ind w:leftChars="500" w:left="1180"/>
              <w:contextualSpacing/>
              <w:jc w:val="left"/>
              <w:rPr>
                <w:rFonts w:ascii="Times" w:hAnsi="Times" w:cs="Times"/>
                <w:lang w:eastAsia="x-none"/>
              </w:rPr>
            </w:pPr>
            <w:r w:rsidRPr="003D44F1">
              <w:rPr>
                <w:rFonts w:ascii="Times" w:hAnsi="Times" w:cs="Times"/>
                <w:lang w:eastAsia="x-none"/>
              </w:rPr>
              <w:t>Alt 2: Maximum SCS of all activated UL BWPs within the TAG</w:t>
            </w:r>
          </w:p>
          <w:p w:rsidR="006F718D" w:rsidRPr="003D44F1" w:rsidRDefault="006F718D" w:rsidP="003D2FA9">
            <w:pPr>
              <w:widowControl/>
              <w:numPr>
                <w:ilvl w:val="2"/>
                <w:numId w:val="17"/>
              </w:numPr>
              <w:wordWrap/>
              <w:autoSpaceDE/>
              <w:autoSpaceDN/>
              <w:spacing w:after="180"/>
              <w:ind w:leftChars="500" w:left="1180"/>
              <w:contextualSpacing/>
              <w:jc w:val="left"/>
              <w:rPr>
                <w:rFonts w:ascii="Times" w:hAnsi="Times" w:cs="Times"/>
                <w:lang w:eastAsia="x-none"/>
              </w:rPr>
            </w:pPr>
            <w:r w:rsidRPr="003D44F1">
              <w:rPr>
                <w:rFonts w:ascii="Times" w:hAnsi="Times" w:cs="Times"/>
                <w:lang w:eastAsia="x-none"/>
              </w:rPr>
              <w:t>Alt 3: TA command or additional field in MAC-CE explicitly indicates the TA granularity used</w:t>
            </w:r>
          </w:p>
          <w:p w:rsidR="006F718D" w:rsidRPr="003D44F1" w:rsidRDefault="006F718D" w:rsidP="003D2FA9">
            <w:pPr>
              <w:widowControl/>
              <w:numPr>
                <w:ilvl w:val="2"/>
                <w:numId w:val="17"/>
              </w:numPr>
              <w:wordWrap/>
              <w:autoSpaceDE/>
              <w:autoSpaceDN/>
              <w:spacing w:after="180"/>
              <w:ind w:leftChars="500" w:left="1180"/>
              <w:contextualSpacing/>
              <w:jc w:val="left"/>
              <w:rPr>
                <w:rFonts w:ascii="Times" w:hAnsi="Times" w:cs="Times"/>
                <w:lang w:eastAsia="x-none"/>
              </w:rPr>
            </w:pPr>
            <w:r w:rsidRPr="003D44F1">
              <w:rPr>
                <w:rFonts w:ascii="Times" w:hAnsi="Times" w:cs="Times"/>
                <w:lang w:eastAsia="x-none"/>
              </w:rPr>
              <w:t>Other alternatives are not precluded.</w:t>
            </w:r>
          </w:p>
          <w:p w:rsidR="006F718D" w:rsidRPr="003D44F1" w:rsidRDefault="006F718D" w:rsidP="006F718D">
            <w:pPr>
              <w:widowControl/>
              <w:wordWrap/>
              <w:autoSpaceDE/>
              <w:autoSpaceDN/>
              <w:ind w:left="360" w:hanging="360"/>
              <w:jc w:val="center"/>
              <w:rPr>
                <w:rFonts w:ascii="Times New Roman"/>
                <w:i/>
                <w:iCs/>
                <w:lang w:eastAsia="x-none"/>
              </w:rPr>
            </w:pPr>
            <w:r w:rsidRPr="003D44F1">
              <w:rPr>
                <w:rFonts w:ascii="Times" w:hAnsi="Times" w:cs="Times"/>
                <w:b/>
                <w:bCs/>
                <w:i/>
                <w:iCs/>
                <w:lang w:eastAsia="x-none"/>
              </w:rPr>
              <w:t>Table I. Granularity of 6 bits TA command for the case of single UL BWP</w:t>
            </w:r>
          </w:p>
          <w:tbl>
            <w:tblPr>
              <w:tblW w:w="0" w:type="auto"/>
              <w:jc w:val="center"/>
              <w:tblCellMar>
                <w:left w:w="0" w:type="dxa"/>
                <w:right w:w="0" w:type="dxa"/>
              </w:tblCellMar>
              <w:tblLook w:val="04A0" w:firstRow="1" w:lastRow="0" w:firstColumn="1" w:lastColumn="0" w:noHBand="0" w:noVBand="1"/>
            </w:tblPr>
            <w:tblGrid>
              <w:gridCol w:w="3113"/>
              <w:gridCol w:w="1303"/>
            </w:tblGrid>
            <w:tr w:rsidR="006F718D" w:rsidRPr="003D44F1" w:rsidTr="000B13D7">
              <w:trPr>
                <w:trHeight w:val="539"/>
                <w:jc w:val="center"/>
              </w:trPr>
              <w:tc>
                <w:tcPr>
                  <w:tcW w:w="31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Subcarrier Spacing (kHz) of current UL BWP</w:t>
                  </w:r>
                </w:p>
              </w:tc>
              <w:tc>
                <w:tcPr>
                  <w:tcW w:w="13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 xml:space="preserve">Unit </w:t>
                  </w:r>
                </w:p>
              </w:tc>
            </w:tr>
            <w:tr w:rsidR="006F718D" w:rsidRPr="003D44F1" w:rsidTr="000B13D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lastRenderedPageBreak/>
                    <w:t>15</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16*64 Ts</w:t>
                  </w:r>
                </w:p>
              </w:tc>
            </w:tr>
            <w:tr w:rsidR="006F718D" w:rsidRPr="003D44F1" w:rsidTr="000B13D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30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8*64 Ts</w:t>
                  </w:r>
                </w:p>
              </w:tc>
            </w:tr>
            <w:tr w:rsidR="006F718D" w:rsidRPr="003D44F1" w:rsidTr="000B13D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60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4*64 Ts</w:t>
                  </w:r>
                </w:p>
              </w:tc>
            </w:tr>
            <w:tr w:rsidR="006F718D" w:rsidRPr="003D44F1" w:rsidTr="000B13D7">
              <w:trPr>
                <w:jc w:val="center"/>
              </w:trPr>
              <w:tc>
                <w:tcPr>
                  <w:tcW w:w="31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120</w:t>
                  </w:r>
                </w:p>
              </w:tc>
              <w:tc>
                <w:tcPr>
                  <w:tcW w:w="1303" w:type="dxa"/>
                  <w:tcBorders>
                    <w:top w:val="nil"/>
                    <w:left w:val="nil"/>
                    <w:bottom w:val="single" w:sz="8" w:space="0" w:color="auto"/>
                    <w:right w:val="single" w:sz="8" w:space="0" w:color="auto"/>
                  </w:tcBorders>
                  <w:tcMar>
                    <w:top w:w="0" w:type="dxa"/>
                    <w:left w:w="108" w:type="dxa"/>
                    <w:bottom w:w="0" w:type="dxa"/>
                    <w:right w:w="108" w:type="dxa"/>
                  </w:tcMar>
                  <w:hideMark/>
                </w:tcPr>
                <w:p w:rsidR="006F718D" w:rsidRPr="003D44F1" w:rsidRDefault="006F718D" w:rsidP="006F718D">
                  <w:pPr>
                    <w:widowControl/>
                    <w:wordWrap/>
                    <w:autoSpaceDE/>
                    <w:autoSpaceDN/>
                    <w:ind w:leftChars="100" w:left="200"/>
                    <w:jc w:val="left"/>
                    <w:rPr>
                      <w:rFonts w:ascii="Times New Roman" w:eastAsia="SimSun"/>
                      <w:i/>
                      <w:kern w:val="0"/>
                      <w:szCs w:val="20"/>
                      <w:lang w:val="en-GB" w:eastAsia="en-US"/>
                    </w:rPr>
                  </w:pPr>
                  <w:r w:rsidRPr="003D44F1">
                    <w:rPr>
                      <w:rFonts w:ascii="Times New Roman" w:eastAsia="SimSun"/>
                      <w:i/>
                      <w:kern w:val="0"/>
                      <w:szCs w:val="20"/>
                      <w:lang w:val="en-GB" w:eastAsia="en-US"/>
                    </w:rPr>
                    <w:t>2*64 Ts</w:t>
                  </w:r>
                </w:p>
              </w:tc>
            </w:tr>
          </w:tbl>
          <w:p w:rsidR="006F718D" w:rsidRPr="003D44F1" w:rsidRDefault="006F718D" w:rsidP="006F718D">
            <w:pPr>
              <w:widowControl/>
              <w:wordWrap/>
              <w:autoSpaceDE/>
              <w:autoSpaceDN/>
              <w:jc w:val="left"/>
              <w:rPr>
                <w:rFonts w:ascii="Calibri" w:eastAsia="굴림" w:hAnsi="Calibri" w:cs="Calibri"/>
                <w:color w:val="000000"/>
                <w:kern w:val="0"/>
                <w:sz w:val="22"/>
                <w:lang w:val="en-GB"/>
              </w:rPr>
            </w:pPr>
          </w:p>
          <w:p w:rsidR="006F718D" w:rsidRPr="00BF06E8" w:rsidRDefault="006F718D" w:rsidP="00BF06E8">
            <w:pPr>
              <w:widowControl/>
              <w:wordWrap/>
              <w:autoSpaceDE/>
              <w:autoSpaceDN/>
              <w:ind w:leftChars="200" w:left="400"/>
              <w:jc w:val="left"/>
              <w:rPr>
                <w:rFonts w:ascii="Times New Roman" w:eastAsia="SimSun" w:hint="eastAsia"/>
                <w:i/>
                <w:kern w:val="0"/>
                <w:szCs w:val="20"/>
                <w:lang w:val="en-GB" w:eastAsia="en-US"/>
              </w:rPr>
            </w:pPr>
            <w:r w:rsidRPr="003D44F1">
              <w:rPr>
                <w:rFonts w:ascii="Times New Roman" w:eastAsia="SimSun"/>
                <w:i/>
                <w:kern w:val="0"/>
                <w:szCs w:val="20"/>
                <w:lang w:val="en-GB" w:eastAsia="en-US"/>
              </w:rPr>
              <w:t xml:space="preserve">Note: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val="en-GB" w:eastAsia="en-US"/>
                    </w:rPr>
                    <m:t>T</m:t>
                  </m:r>
                </m:e>
                <m:sub>
                  <m:r>
                    <w:rPr>
                      <w:rFonts w:ascii="Cambria Math" w:eastAsia="SimSun" w:hAnsi="Cambria Math"/>
                      <w:kern w:val="0"/>
                      <w:szCs w:val="20"/>
                      <w:lang w:val="en-GB" w:eastAsia="en-US"/>
                    </w:rPr>
                    <m:t>s</m:t>
                  </m:r>
                </m:sub>
              </m:sSub>
              <m:r>
                <w:rPr>
                  <w:rFonts w:ascii="Cambria Math" w:eastAsia="SimSun" w:hAnsi="Cambria Math"/>
                  <w:kern w:val="0"/>
                  <w:szCs w:val="20"/>
                  <w:lang w:val="en-GB" w:eastAsia="en-US"/>
                </w:rPr>
                <m:t>=1/(64* 30.72*</m:t>
              </m:r>
              <m:sSup>
                <m:sSupPr>
                  <m:ctrlPr>
                    <w:rPr>
                      <w:rFonts w:ascii="Cambria Math" w:eastAsia="SimSun" w:hAnsi="Cambria Math"/>
                      <w:i/>
                      <w:kern w:val="0"/>
                      <w:szCs w:val="20"/>
                      <w:lang w:val="en-GB" w:eastAsia="en-US"/>
                    </w:rPr>
                  </m:ctrlPr>
                </m:sSupPr>
                <m:e>
                  <m:r>
                    <w:rPr>
                      <w:rFonts w:ascii="Cambria Math" w:eastAsia="SimSun" w:hAnsi="Cambria Math"/>
                      <w:kern w:val="0"/>
                      <w:szCs w:val="20"/>
                      <w:lang w:val="en-GB" w:eastAsia="en-US"/>
                    </w:rPr>
                    <m:t>10</m:t>
                  </m:r>
                </m:e>
                <m:sup>
                  <m:r>
                    <w:rPr>
                      <w:rFonts w:ascii="Cambria Math" w:eastAsia="SimSun" w:hAnsi="Cambria Math"/>
                      <w:kern w:val="0"/>
                      <w:szCs w:val="20"/>
                      <w:lang w:val="en-GB" w:eastAsia="en-US"/>
                    </w:rPr>
                    <m:t>6</m:t>
                  </m:r>
                </m:sup>
              </m:sSup>
              <m:r>
                <w:rPr>
                  <w:rFonts w:ascii="Cambria Math" w:eastAsia="SimSun" w:hAnsi="Cambria Math"/>
                  <w:kern w:val="0"/>
                  <w:szCs w:val="20"/>
                  <w:lang w:val="en-GB" w:eastAsia="en-US"/>
                </w:rPr>
                <m:t>)</m:t>
              </m:r>
            </m:oMath>
            <w:r w:rsidRPr="003D44F1">
              <w:rPr>
                <w:rFonts w:ascii="Times New Roman" w:eastAsia="SimSun"/>
                <w:i/>
                <w:kern w:val="0"/>
                <w:szCs w:val="20"/>
                <w:lang w:val="en-GB" w:eastAsia="en-US"/>
              </w:rPr>
              <w:t xml:space="preserve"> seconds “</w:t>
            </w:r>
          </w:p>
        </w:tc>
      </w:tr>
    </w:tbl>
    <w:p w:rsidR="0084715F" w:rsidRDefault="006E7583" w:rsidP="002031E8">
      <w:pPr>
        <w:pStyle w:val="LGTdoc0"/>
        <w:spacing w:before="120" w:afterLines="0" w:line="240" w:lineRule="auto"/>
        <w:rPr>
          <w:szCs w:val="22"/>
          <w:lang w:val="en-US"/>
        </w:rPr>
      </w:pPr>
      <w:r>
        <w:rPr>
          <w:szCs w:val="22"/>
          <w:lang w:val="en-US"/>
        </w:rPr>
        <w:lastRenderedPageBreak/>
        <w:t>This contribution discusses carrier aggregation aspects focusing on DCI and UCI transmission, multiple TAGs and SRS carrier switching</w:t>
      </w:r>
      <w:r w:rsidR="00957CB3">
        <w:rPr>
          <w:szCs w:val="22"/>
          <w:lang w:val="en-US"/>
        </w:rPr>
        <w:t>.</w:t>
      </w:r>
    </w:p>
    <w:p w:rsidR="006B3E50" w:rsidRPr="008376E6" w:rsidRDefault="006B3E50" w:rsidP="00E0680A">
      <w:pPr>
        <w:pStyle w:val="LGTdoc0"/>
        <w:spacing w:afterLines="0" w:after="0" w:line="240" w:lineRule="exact"/>
        <w:rPr>
          <w:szCs w:val="22"/>
          <w:lang w:val="en-US"/>
        </w:rPr>
      </w:pPr>
    </w:p>
    <w:p w:rsidR="006E7583" w:rsidRPr="000474BB" w:rsidRDefault="004B6B19" w:rsidP="000474BB">
      <w:pPr>
        <w:pStyle w:val="LGTdoc1"/>
        <w:numPr>
          <w:ilvl w:val="0"/>
          <w:numId w:val="3"/>
        </w:numPr>
        <w:spacing w:beforeLines="0" w:after="0" w:afterAutospacing="0"/>
        <w:rPr>
          <w:lang w:val="en-US"/>
        </w:rPr>
      </w:pPr>
      <w:r>
        <w:rPr>
          <w:lang w:val="en-US"/>
        </w:rPr>
        <w:t>Discussion on carrier aggregation</w:t>
      </w:r>
    </w:p>
    <w:p w:rsidR="006E7583" w:rsidRPr="000474BB" w:rsidRDefault="006E7583" w:rsidP="000474BB">
      <w:pPr>
        <w:pStyle w:val="LGTdoc1"/>
        <w:numPr>
          <w:ilvl w:val="1"/>
          <w:numId w:val="3"/>
        </w:numPr>
        <w:spacing w:beforeLines="0" w:after="0" w:afterAutospacing="0"/>
        <w:rPr>
          <w:sz w:val="24"/>
          <w:szCs w:val="22"/>
          <w:lang w:val="en-US"/>
        </w:rPr>
      </w:pPr>
      <w:r w:rsidRPr="000474BB">
        <w:rPr>
          <w:sz w:val="24"/>
          <w:szCs w:val="22"/>
          <w:lang w:val="en-US"/>
        </w:rPr>
        <w:t>Cross-carrier DL/UL control signaling</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Regarding cross-CC scheduling between the cells with different numerologies, there are two cases: </w:t>
      </w:r>
      <w:r w:rsidRPr="000474BB">
        <w:rPr>
          <w:rFonts w:ascii="Times New Roman"/>
          <w:sz w:val="22"/>
          <w:szCs w:val="22"/>
          <w:u w:val="single"/>
        </w:rPr>
        <w:t>Case 1)</w:t>
      </w:r>
      <w:r w:rsidRPr="000474BB">
        <w:rPr>
          <w:rFonts w:ascii="Times New Roman"/>
          <w:sz w:val="22"/>
          <w:szCs w:val="22"/>
        </w:rPr>
        <w:t xml:space="preserve"> DCI in Cell 1 with small sub-carrier spacing or long TTI schedules DL/UL data in Cell 2 with large sub-carrier spacing or short TTI as shown in Figure 1(a), and </w:t>
      </w:r>
      <w:r w:rsidRPr="000474BB">
        <w:rPr>
          <w:rFonts w:ascii="Times New Roman"/>
          <w:sz w:val="22"/>
          <w:szCs w:val="22"/>
          <w:u w:val="single"/>
        </w:rPr>
        <w:t>Case 2)</w:t>
      </w:r>
      <w:r w:rsidRPr="000474BB">
        <w:rPr>
          <w:rFonts w:ascii="Times New Roman"/>
          <w:sz w:val="22"/>
          <w:szCs w:val="22"/>
        </w:rPr>
        <w:t xml:space="preserve"> DCI in Cell 1 with large sub-carrier spacing or short TTI schedules DL/UL data in Cell 2 with small sub-carrier spacing or long TTI as shown in Figure 1(b). </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For </w:t>
      </w:r>
      <w:r w:rsidRPr="000474BB">
        <w:rPr>
          <w:rFonts w:ascii="Times New Roman"/>
          <w:sz w:val="22"/>
          <w:szCs w:val="22"/>
          <w:u w:val="single"/>
        </w:rPr>
        <w:t>Case 1)</w:t>
      </w:r>
      <w:r w:rsidRPr="000474BB">
        <w:rPr>
          <w:rFonts w:ascii="Times New Roman"/>
          <w:sz w:val="22"/>
          <w:szCs w:val="22"/>
        </w:rPr>
        <w:t xml:space="preserve">, one long TTI schedules multiple short TTIs via individual DCI per short TTI (by indicating short TTI slot index) or via single DCI for multi-TTI (by adopting multi-TTI scheduling design). In this case, considering DCI overhead in long TTI, some restriction (e.g., limiting the number of scheduled cells with short TTI or not allowing cross-CC scheduling for the cell with very short TTI) may be necessary. For </w:t>
      </w:r>
      <w:r w:rsidRPr="000474BB">
        <w:rPr>
          <w:rFonts w:ascii="Times New Roman"/>
          <w:sz w:val="22"/>
          <w:szCs w:val="22"/>
          <w:u w:val="single"/>
        </w:rPr>
        <w:t>Case 2)</w:t>
      </w:r>
      <w:r w:rsidRPr="000474BB">
        <w:rPr>
          <w:rFonts w:ascii="Times New Roman"/>
          <w:sz w:val="22"/>
          <w:szCs w:val="22"/>
        </w:rPr>
        <w:t xml:space="preserve">, one long TTI is scheduled by one of multiple short TTIs and the scheduling short TTI can be fixed or variable considering DCI resource flexibility. </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In addition, for DL/UL cross-carrier scheduling, the timing delay between DCI and DL/UL data can be considered to be counted based on the scheduled cell’s TTI granularity as already agreed in the email discussion after RAN1#89. </w:t>
      </w:r>
    </w:p>
    <w:p w:rsidR="006E7583" w:rsidRPr="000474BB" w:rsidRDefault="006E7583" w:rsidP="006E7583">
      <w:pPr>
        <w:spacing w:before="120" w:after="120"/>
        <w:ind w:firstLineChars="100" w:firstLine="220"/>
        <w:rPr>
          <w:rFonts w:ascii="Times New Roman"/>
          <w:sz w:val="22"/>
          <w:szCs w:val="22"/>
        </w:rPr>
      </w:pPr>
    </w:p>
    <w:p w:rsidR="006E7583" w:rsidRPr="000474BB" w:rsidRDefault="006E7583" w:rsidP="006E7583">
      <w:pPr>
        <w:ind w:firstLineChars="100" w:firstLine="200"/>
        <w:jc w:val="center"/>
        <w:rPr>
          <w:rFonts w:ascii="Times New Roman" w:eastAsia="맑은 고딕"/>
          <w:szCs w:val="20"/>
        </w:rPr>
      </w:pPr>
      <w:r w:rsidRPr="00B55038">
        <w:rPr>
          <w:rFonts w:ascii="Times New Roman" w:eastAsia="MS Mincho"/>
          <w:szCs w:val="20"/>
          <w:lang w:val="en-GB" w:eastAsia="en-US"/>
        </w:rPr>
        <w:object w:dxaOrig="6825" w:dyaOrig="3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56pt" o:ole="">
            <v:imagedata r:id="rId8" o:title=""/>
          </v:shape>
          <o:OLEObject Type="Embed" ProgID="Visio.Drawing.11" ShapeID="_x0000_i1025" DrawAspect="Content" ObjectID="_1572472959" r:id="rId9"/>
        </w:object>
      </w:r>
    </w:p>
    <w:p w:rsidR="006E7583" w:rsidRPr="000474BB" w:rsidRDefault="006E7583" w:rsidP="006E7583">
      <w:pPr>
        <w:ind w:firstLineChars="100" w:firstLine="220"/>
        <w:jc w:val="center"/>
        <w:rPr>
          <w:rFonts w:ascii="Times New Roman" w:eastAsia="맑은 고딕"/>
          <w:sz w:val="22"/>
          <w:szCs w:val="22"/>
        </w:rPr>
      </w:pPr>
    </w:p>
    <w:p w:rsidR="006E7583" w:rsidRPr="000474BB" w:rsidRDefault="006E7583" w:rsidP="006E7583">
      <w:pPr>
        <w:ind w:firstLineChars="100" w:firstLine="200"/>
        <w:jc w:val="center"/>
        <w:rPr>
          <w:rFonts w:ascii="Times New Roman"/>
          <w:sz w:val="22"/>
          <w:szCs w:val="22"/>
        </w:rPr>
      </w:pPr>
      <w:r w:rsidRPr="00B55038">
        <w:rPr>
          <w:rFonts w:ascii="Times New Roman" w:eastAsia="MS Mincho"/>
          <w:szCs w:val="20"/>
          <w:lang w:val="en-GB" w:eastAsia="en-US"/>
        </w:rPr>
        <w:object w:dxaOrig="6795" w:dyaOrig="3120">
          <v:shape id="_x0000_i1026" type="#_x0000_t75" style="width:339.8pt;height:156pt" o:ole="">
            <v:imagedata r:id="rId10" o:title=""/>
          </v:shape>
          <o:OLEObject Type="Embed" ProgID="Visio.Drawing.11" ShapeID="_x0000_i1026" DrawAspect="Content" ObjectID="_1572472960" r:id="rId11"/>
        </w:object>
      </w:r>
    </w:p>
    <w:p w:rsidR="006E7583" w:rsidRPr="000474BB" w:rsidRDefault="006E7583" w:rsidP="006E7583">
      <w:pPr>
        <w:spacing w:before="120" w:after="120"/>
        <w:ind w:firstLineChars="100" w:firstLine="220"/>
        <w:jc w:val="center"/>
        <w:rPr>
          <w:rFonts w:ascii="Times New Roman"/>
          <w:sz w:val="22"/>
          <w:szCs w:val="22"/>
        </w:rPr>
      </w:pPr>
      <w:r w:rsidRPr="000474BB">
        <w:rPr>
          <w:rFonts w:ascii="Times New Roman"/>
          <w:sz w:val="22"/>
          <w:szCs w:val="22"/>
        </w:rPr>
        <w:lastRenderedPageBreak/>
        <w:t>Figure 1: Examples of cross-CC scheduling in NR CA</w:t>
      </w:r>
    </w:p>
    <w:p w:rsidR="006E7583" w:rsidRPr="000474BB" w:rsidRDefault="006E7583" w:rsidP="006E7583">
      <w:pPr>
        <w:spacing w:before="120" w:after="120"/>
        <w:ind w:firstLineChars="100" w:firstLine="220"/>
        <w:rPr>
          <w:rFonts w:ascii="Times New Roman"/>
          <w:sz w:val="22"/>
          <w:szCs w:val="22"/>
        </w:rPr>
      </w:pP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Moreover, for UCI transmission in the CA between the cells with different numerologies, there are two cases: </w:t>
      </w:r>
      <w:r w:rsidRPr="000474BB">
        <w:rPr>
          <w:rFonts w:ascii="Times New Roman"/>
          <w:sz w:val="22"/>
          <w:szCs w:val="22"/>
          <w:u w:val="single"/>
        </w:rPr>
        <w:t>Case A)</w:t>
      </w:r>
      <w:r w:rsidRPr="000474BB">
        <w:rPr>
          <w:rFonts w:ascii="Times New Roman"/>
          <w:sz w:val="22"/>
          <w:szCs w:val="22"/>
        </w:rPr>
        <w:t xml:space="preserve"> HARQ-ACK for Cell 1 with small sub-carrier spacing or long TTI is transmitted on PUCCH in Cell 2 with large sub-carrier spacing or short TTI as shown in Figure 2(a), and </w:t>
      </w:r>
      <w:r w:rsidRPr="000474BB">
        <w:rPr>
          <w:rFonts w:ascii="Times New Roman"/>
          <w:sz w:val="22"/>
          <w:szCs w:val="22"/>
          <w:u w:val="single"/>
        </w:rPr>
        <w:t>Case B)</w:t>
      </w:r>
      <w:r w:rsidRPr="000474BB">
        <w:rPr>
          <w:rFonts w:ascii="Times New Roman"/>
          <w:sz w:val="22"/>
          <w:szCs w:val="22"/>
        </w:rPr>
        <w:t xml:space="preserve"> HARQ-ACK for Cell 1 with large sub-carrier spacing or short TTI is transmitted on PUCCH in Cell 2 with small sub-carrier spacing or long TTI as shown in Figure 2(b).</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For </w:t>
      </w:r>
      <w:r w:rsidRPr="000474BB">
        <w:rPr>
          <w:rFonts w:ascii="Times New Roman"/>
          <w:sz w:val="22"/>
          <w:szCs w:val="22"/>
          <w:u w:val="single"/>
        </w:rPr>
        <w:t>Case A)</w:t>
      </w:r>
      <w:r w:rsidRPr="000474BB">
        <w:rPr>
          <w:rFonts w:ascii="Times New Roman"/>
          <w:sz w:val="22"/>
          <w:szCs w:val="22"/>
        </w:rPr>
        <w:t>, since it was agreed in RAN1#90 that the HARQ-ACK timing is determined based on TTI conveying PUCCH, the PUCCH is transmitted in the indicated short TTI, but it is necessary to determine the reference short TTI corresponding to long TTI with DL data for HARQ-ACK timing calculation. In our view, for consistency, setting the first slot overlapping with the long slot with DL data is a plausible approach.</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For </w:t>
      </w:r>
      <w:r w:rsidRPr="000474BB">
        <w:rPr>
          <w:rFonts w:ascii="Times New Roman"/>
          <w:sz w:val="22"/>
          <w:szCs w:val="22"/>
          <w:u w:val="single"/>
        </w:rPr>
        <w:t>Case B)</w:t>
      </w:r>
      <w:r w:rsidRPr="000474BB">
        <w:rPr>
          <w:rFonts w:ascii="Times New Roman"/>
          <w:sz w:val="22"/>
          <w:szCs w:val="22"/>
        </w:rPr>
        <w:t>, the PUCCH is transmitted in the indicated long TTI and the reference long TTI for HARQ-ACK timing calculation can be the long TTI overlapped with the short TTI with DL data. In this case, considering UCI overhead in a long TTI, some restriction (e.g., limiting the number of DL data cells with short TTI or not allowing cross-CC UCI transmission for the cell with very short TTI) may be necessary.</w:t>
      </w:r>
    </w:p>
    <w:p w:rsidR="006E7583" w:rsidRPr="000474BB" w:rsidRDefault="006E7583" w:rsidP="006E7583">
      <w:pPr>
        <w:ind w:firstLineChars="100" w:firstLine="220"/>
        <w:rPr>
          <w:rFonts w:ascii="Times New Roman"/>
          <w:sz w:val="22"/>
          <w:szCs w:val="22"/>
        </w:rPr>
      </w:pPr>
    </w:p>
    <w:p w:rsidR="006E7583" w:rsidRPr="000474BB" w:rsidRDefault="006E7583" w:rsidP="006E7583">
      <w:pPr>
        <w:ind w:firstLineChars="100" w:firstLine="200"/>
        <w:jc w:val="center"/>
        <w:rPr>
          <w:rFonts w:ascii="Times New Roman" w:eastAsia="맑은 고딕"/>
          <w:szCs w:val="20"/>
        </w:rPr>
      </w:pPr>
      <w:r w:rsidRPr="00B55038">
        <w:rPr>
          <w:rFonts w:ascii="Times New Roman" w:eastAsia="MS Mincho"/>
          <w:szCs w:val="20"/>
          <w:lang w:val="en-GB" w:eastAsia="en-US"/>
        </w:rPr>
        <w:object w:dxaOrig="8580" w:dyaOrig="2835">
          <v:shape id="_x0000_i1027" type="#_x0000_t75" style="width:429.25pt;height:141.8pt" o:ole="">
            <v:imagedata r:id="rId12" o:title=""/>
          </v:shape>
          <o:OLEObject Type="Embed" ProgID="Visio.Drawing.11" ShapeID="_x0000_i1027" DrawAspect="Content" ObjectID="_1572472961" r:id="rId13"/>
        </w:object>
      </w:r>
    </w:p>
    <w:p w:rsidR="006E7583" w:rsidRPr="000474BB" w:rsidRDefault="006E7583" w:rsidP="006E7583">
      <w:pPr>
        <w:ind w:firstLineChars="100" w:firstLine="200"/>
        <w:jc w:val="center"/>
        <w:rPr>
          <w:rFonts w:ascii="Times New Roman" w:eastAsia="맑은 고딕"/>
        </w:rPr>
      </w:pPr>
    </w:p>
    <w:p w:rsidR="006E7583" w:rsidRPr="000474BB" w:rsidRDefault="006E7583" w:rsidP="006E7583">
      <w:pPr>
        <w:ind w:firstLineChars="100" w:firstLine="200"/>
        <w:jc w:val="center"/>
        <w:rPr>
          <w:rFonts w:ascii="Times New Roman"/>
          <w:sz w:val="22"/>
          <w:szCs w:val="22"/>
        </w:rPr>
      </w:pPr>
      <w:r w:rsidRPr="000474BB">
        <w:rPr>
          <w:rFonts w:ascii="Times New Roman"/>
        </w:rPr>
        <w:t xml:space="preserve"> </w:t>
      </w:r>
      <w:r w:rsidRPr="00B55038">
        <w:rPr>
          <w:rFonts w:ascii="Times New Roman" w:eastAsia="MS Mincho"/>
          <w:szCs w:val="20"/>
          <w:lang w:val="en-GB" w:eastAsia="en-US"/>
        </w:rPr>
        <w:object w:dxaOrig="8580" w:dyaOrig="2835">
          <v:shape id="_x0000_i1028" type="#_x0000_t75" style="width:429.25pt;height:141.8pt" o:ole="">
            <v:imagedata r:id="rId14" o:title=""/>
          </v:shape>
          <o:OLEObject Type="Embed" ProgID="Visio.Drawing.11" ShapeID="_x0000_i1028" DrawAspect="Content" ObjectID="_1572472962" r:id="rId15"/>
        </w:object>
      </w:r>
    </w:p>
    <w:p w:rsidR="006E7583" w:rsidRPr="000474BB" w:rsidRDefault="006E7583" w:rsidP="006E7583">
      <w:pPr>
        <w:spacing w:before="120" w:after="120"/>
        <w:ind w:firstLineChars="100" w:firstLine="220"/>
        <w:jc w:val="center"/>
        <w:rPr>
          <w:rFonts w:ascii="Times New Roman"/>
          <w:sz w:val="22"/>
          <w:szCs w:val="22"/>
        </w:rPr>
      </w:pPr>
      <w:r w:rsidRPr="000474BB">
        <w:rPr>
          <w:rFonts w:ascii="Times New Roman"/>
          <w:sz w:val="22"/>
          <w:szCs w:val="22"/>
        </w:rPr>
        <w:t>Figure 2: Examples of UCI PUCCH transmission in NR CA</w:t>
      </w:r>
    </w:p>
    <w:p w:rsidR="006E7583" w:rsidRPr="000474BB" w:rsidRDefault="006E7583" w:rsidP="006E7583">
      <w:pPr>
        <w:spacing w:before="120" w:after="120"/>
        <w:ind w:firstLineChars="100" w:firstLine="220"/>
        <w:rPr>
          <w:rFonts w:ascii="Times New Roman"/>
          <w:sz w:val="22"/>
          <w:szCs w:val="22"/>
        </w:rPr>
      </w:pPr>
    </w:p>
    <w:p w:rsidR="006E7583" w:rsidRPr="000474BB" w:rsidRDefault="006E7583" w:rsidP="006E7583">
      <w:pPr>
        <w:spacing w:before="160" w:after="160"/>
        <w:rPr>
          <w:rFonts w:ascii="Times New Roman"/>
          <w:b/>
          <w:i/>
          <w:sz w:val="22"/>
          <w:szCs w:val="22"/>
        </w:rPr>
      </w:pPr>
      <w:r w:rsidRPr="000474BB">
        <w:rPr>
          <w:rFonts w:ascii="Times New Roman"/>
          <w:b/>
          <w:i/>
          <w:sz w:val="22"/>
          <w:szCs w:val="22"/>
        </w:rPr>
        <w:t>Proposal 1: For HARQ-ACK feedback between CCs with different numerologies, the slot in the PUCCH cell corresponding to K1 = 0 is determined as follows:</w:t>
      </w:r>
    </w:p>
    <w:p w:rsidR="006E7583" w:rsidRPr="000474BB" w:rsidRDefault="006E7583" w:rsidP="003D2FA9">
      <w:pPr>
        <w:widowControl/>
        <w:numPr>
          <w:ilvl w:val="0"/>
          <w:numId w:val="7"/>
        </w:numPr>
        <w:wordWrap/>
        <w:autoSpaceDE/>
        <w:autoSpaceDN/>
        <w:spacing w:before="160" w:after="160"/>
        <w:ind w:hanging="357"/>
        <w:contextualSpacing/>
        <w:rPr>
          <w:rFonts w:ascii="Times New Roman"/>
          <w:b/>
          <w:i/>
          <w:sz w:val="22"/>
          <w:szCs w:val="22"/>
        </w:rPr>
      </w:pPr>
      <w:r w:rsidRPr="000474BB">
        <w:rPr>
          <w:rFonts w:ascii="Times New Roman"/>
          <w:b/>
          <w:i/>
          <w:sz w:val="22"/>
          <w:szCs w:val="22"/>
        </w:rPr>
        <w:t>If the slot duration of the PUCCH cell is longer than the PDSCH cell,</w:t>
      </w:r>
    </w:p>
    <w:p w:rsidR="006E7583" w:rsidRPr="000474BB" w:rsidRDefault="006E7583" w:rsidP="003D2FA9">
      <w:pPr>
        <w:widowControl/>
        <w:numPr>
          <w:ilvl w:val="0"/>
          <w:numId w:val="8"/>
        </w:numPr>
        <w:wordWrap/>
        <w:autoSpaceDE/>
        <w:autoSpaceDN/>
        <w:spacing w:before="160" w:after="160"/>
        <w:contextualSpacing/>
        <w:rPr>
          <w:rFonts w:ascii="Times New Roman"/>
          <w:b/>
          <w:i/>
          <w:sz w:val="22"/>
          <w:szCs w:val="22"/>
        </w:rPr>
      </w:pPr>
      <w:r w:rsidRPr="000474BB">
        <w:rPr>
          <w:rFonts w:ascii="Times New Roman"/>
          <w:b/>
          <w:i/>
          <w:sz w:val="22"/>
          <w:szCs w:val="22"/>
        </w:rPr>
        <w:t>The slot overlapping with the PDSCH slot</w:t>
      </w:r>
    </w:p>
    <w:p w:rsidR="006E7583" w:rsidRPr="000474BB" w:rsidRDefault="006E7583" w:rsidP="003D2FA9">
      <w:pPr>
        <w:widowControl/>
        <w:numPr>
          <w:ilvl w:val="0"/>
          <w:numId w:val="7"/>
        </w:numPr>
        <w:wordWrap/>
        <w:autoSpaceDE/>
        <w:autoSpaceDN/>
        <w:spacing w:before="160" w:after="160"/>
        <w:ind w:hanging="357"/>
        <w:contextualSpacing/>
        <w:rPr>
          <w:rFonts w:ascii="Times New Roman"/>
          <w:b/>
          <w:i/>
          <w:sz w:val="22"/>
          <w:szCs w:val="22"/>
        </w:rPr>
      </w:pPr>
      <w:r w:rsidRPr="000474BB">
        <w:rPr>
          <w:rFonts w:ascii="Times New Roman"/>
          <w:b/>
          <w:i/>
          <w:sz w:val="22"/>
          <w:szCs w:val="22"/>
        </w:rPr>
        <w:t>If the slot duration of the PUCCH cell is shorter than the PDSCH cell,</w:t>
      </w:r>
    </w:p>
    <w:p w:rsidR="006E7583" w:rsidRPr="000474BB" w:rsidRDefault="006E7583" w:rsidP="003D2FA9">
      <w:pPr>
        <w:widowControl/>
        <w:numPr>
          <w:ilvl w:val="0"/>
          <w:numId w:val="8"/>
        </w:numPr>
        <w:wordWrap/>
        <w:autoSpaceDE/>
        <w:autoSpaceDN/>
        <w:spacing w:before="160" w:after="160"/>
        <w:contextualSpacing/>
        <w:rPr>
          <w:rFonts w:ascii="Times New Roman"/>
          <w:b/>
          <w:i/>
          <w:sz w:val="22"/>
          <w:szCs w:val="22"/>
        </w:rPr>
      </w:pPr>
      <w:r w:rsidRPr="000474BB">
        <w:rPr>
          <w:rFonts w:ascii="Times New Roman"/>
          <w:b/>
          <w:i/>
          <w:sz w:val="22"/>
          <w:szCs w:val="22"/>
        </w:rPr>
        <w:t>The first slot overlapping with the PDSCH slot</w:t>
      </w:r>
    </w:p>
    <w:p w:rsidR="006E7583" w:rsidRPr="000474BB" w:rsidRDefault="006E7583" w:rsidP="006E7583">
      <w:pPr>
        <w:spacing w:before="120" w:after="120"/>
        <w:ind w:firstLineChars="100" w:firstLine="220"/>
        <w:rPr>
          <w:rFonts w:ascii="Times New Roman"/>
          <w:sz w:val="22"/>
          <w:szCs w:val="22"/>
        </w:rPr>
      </w:pP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Regarding the support of one PUCCH in one cell group, </w:t>
      </w:r>
      <w:r w:rsidR="00432146" w:rsidRPr="000474BB">
        <w:rPr>
          <w:rFonts w:ascii="Times New Roman"/>
          <w:sz w:val="22"/>
          <w:szCs w:val="22"/>
        </w:rPr>
        <w:t xml:space="preserve">PUCCH cell </w:t>
      </w:r>
      <w:r w:rsidRPr="000474BB">
        <w:rPr>
          <w:rFonts w:ascii="Times New Roman"/>
          <w:sz w:val="22"/>
          <w:szCs w:val="22"/>
        </w:rPr>
        <w:t>can be configure</w:t>
      </w:r>
      <w:r w:rsidR="00432146">
        <w:rPr>
          <w:rFonts w:ascii="Times New Roman"/>
          <w:sz w:val="22"/>
          <w:szCs w:val="22"/>
        </w:rPr>
        <w:t>d</w:t>
      </w:r>
      <w:r w:rsidRPr="000474BB">
        <w:rPr>
          <w:rFonts w:ascii="Times New Roman"/>
          <w:sz w:val="22"/>
          <w:szCs w:val="22"/>
        </w:rPr>
        <w:t xml:space="preserve"> semi-static</w:t>
      </w:r>
      <w:r w:rsidR="00432146">
        <w:rPr>
          <w:rFonts w:ascii="Times New Roman"/>
          <w:sz w:val="22"/>
          <w:szCs w:val="22"/>
        </w:rPr>
        <w:t xml:space="preserve">ally as is the case for </w:t>
      </w:r>
      <w:r w:rsidRPr="000474BB">
        <w:rPr>
          <w:rFonts w:ascii="Times New Roman"/>
          <w:sz w:val="22"/>
          <w:szCs w:val="22"/>
        </w:rPr>
        <w:t xml:space="preserve">LTE eCA. However, it may be beneficial to adopt dynamic switching of PUCCH cell within cell group </w:t>
      </w:r>
      <w:r w:rsidR="00432146">
        <w:rPr>
          <w:rFonts w:ascii="Times New Roman"/>
          <w:sz w:val="22"/>
          <w:szCs w:val="22"/>
        </w:rPr>
        <w:t>for</w:t>
      </w:r>
      <w:r w:rsidRPr="000474BB">
        <w:rPr>
          <w:rFonts w:ascii="Times New Roman"/>
          <w:sz w:val="22"/>
          <w:szCs w:val="22"/>
        </w:rPr>
        <w:t xml:space="preserve"> load balancing of UL control resource overhead across cells and flexible DL/UL configuration per cell in NR. Furthermore, under the CA between the cells with different numerology (e.g. </w:t>
      </w:r>
      <w:r w:rsidRPr="000474BB">
        <w:rPr>
          <w:rFonts w:ascii="Times New Roman"/>
          <w:sz w:val="22"/>
          <w:szCs w:val="22"/>
        </w:rPr>
        <w:lastRenderedPageBreak/>
        <w:t xml:space="preserve">different symbol duration), synchronization between multiple cells may also need to be considered, for example, in terms of TA group which would be discussed in the next section. In addition, considering introduction of analog (or hybrid) beamforming based operation in NR especially for high frequency band (e.g. above 6 GHz), it may also be necessary to consider CA with the cells operated with analog beamforming, for example, in terms of DCI/UCI transmission. </w:t>
      </w:r>
    </w:p>
    <w:p w:rsidR="006E7583" w:rsidRPr="000474BB" w:rsidRDefault="006E7583" w:rsidP="006E7583">
      <w:pPr>
        <w:spacing w:before="120" w:after="120"/>
        <w:rPr>
          <w:rFonts w:ascii="Times New Roman"/>
          <w:sz w:val="22"/>
          <w:szCs w:val="22"/>
        </w:rPr>
      </w:pPr>
    </w:p>
    <w:p w:rsidR="006E7583" w:rsidRPr="000474BB" w:rsidRDefault="006E7583" w:rsidP="000474BB">
      <w:pPr>
        <w:pStyle w:val="LGTdoc1"/>
        <w:spacing w:beforeLines="0" w:after="0" w:afterAutospacing="0"/>
        <w:rPr>
          <w:sz w:val="24"/>
          <w:szCs w:val="22"/>
          <w:lang w:val="en-US"/>
        </w:rPr>
      </w:pPr>
      <w:r w:rsidRPr="000474BB">
        <w:rPr>
          <w:sz w:val="24"/>
          <w:szCs w:val="22"/>
          <w:lang w:val="en-US"/>
        </w:rPr>
        <w:t>2.2 Multiple timing advance groups in NR</w:t>
      </w: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Supporting multiple timing advances groups (TAGs) in NR carrier aggregation was agreed in RAN1 #88bis meeting. A follow-up agreement was made during the e-mail discussion after the RAN1 #89 meeting which is copied below:</w:t>
      </w:r>
    </w:p>
    <w:p w:rsidR="006E7583" w:rsidRPr="000474BB" w:rsidRDefault="006E7583" w:rsidP="006E7583">
      <w:pPr>
        <w:ind w:left="360"/>
        <w:jc w:val="left"/>
        <w:rPr>
          <w:rFonts w:ascii="Times New Roman" w:eastAsia="MS Mincho"/>
          <w:i/>
          <w:iCs/>
          <w:szCs w:val="20"/>
          <w:lang w:eastAsia="ja-JP"/>
        </w:rPr>
      </w:pPr>
      <w:r w:rsidRPr="000474BB">
        <w:rPr>
          <w:rFonts w:ascii="Times New Roman"/>
          <w:i/>
          <w:iCs/>
          <w:lang w:eastAsia="ja-JP"/>
        </w:rPr>
        <w:t>•      For multiple timing advance groups</w:t>
      </w:r>
    </w:p>
    <w:p w:rsidR="006E7583" w:rsidRPr="000474BB" w:rsidRDefault="006E7583" w:rsidP="006E7583">
      <w:pPr>
        <w:ind w:left="360" w:firstLine="440"/>
        <w:jc w:val="left"/>
        <w:rPr>
          <w:rFonts w:ascii="Times New Roman"/>
          <w:i/>
          <w:iCs/>
          <w:lang w:eastAsia="ja-JP"/>
        </w:rPr>
      </w:pPr>
      <w:r w:rsidRPr="000474BB">
        <w:rPr>
          <w:rFonts w:ascii="Times New Roman"/>
          <w:i/>
          <w:iCs/>
          <w:lang w:eastAsia="ja-JP"/>
        </w:rPr>
        <w:t>–     LTE timing difference requirement can be used as a starting point</w:t>
      </w:r>
    </w:p>
    <w:p w:rsidR="006E7583" w:rsidRPr="000474BB" w:rsidRDefault="006E7583" w:rsidP="006E7583">
      <w:pPr>
        <w:ind w:left="1160" w:firstLine="440"/>
        <w:jc w:val="left"/>
        <w:rPr>
          <w:rFonts w:ascii="Times New Roman"/>
          <w:i/>
          <w:iCs/>
          <w:lang w:eastAsia="ja-JP"/>
        </w:rPr>
      </w:pPr>
      <w:r w:rsidRPr="000474BB">
        <w:rPr>
          <w:rFonts w:ascii="Times New Roman"/>
          <w:i/>
          <w:iCs/>
          <w:lang w:eastAsia="ja-JP"/>
        </w:rPr>
        <w:t>•      FFS factors related to this requirement.</w:t>
      </w:r>
    </w:p>
    <w:p w:rsidR="006E7583" w:rsidRPr="000474BB" w:rsidRDefault="006E7583" w:rsidP="006E7583">
      <w:pPr>
        <w:ind w:left="360" w:firstLine="440"/>
        <w:jc w:val="left"/>
        <w:rPr>
          <w:rFonts w:ascii="Times New Roman" w:eastAsia="맑은 고딕"/>
          <w:i/>
          <w:iCs/>
        </w:rPr>
      </w:pPr>
      <w:r w:rsidRPr="000474BB">
        <w:rPr>
          <w:rFonts w:ascii="Times New Roman"/>
          <w:i/>
          <w:iCs/>
          <w:lang w:eastAsia="ja-JP"/>
        </w:rPr>
        <w:t>–     Support PRACH transmission for timing advance acquisition on SCC</w:t>
      </w:r>
    </w:p>
    <w:p w:rsidR="006E7583" w:rsidRPr="000474BB" w:rsidRDefault="006E7583" w:rsidP="006E7583">
      <w:pPr>
        <w:ind w:left="360" w:firstLine="440"/>
        <w:jc w:val="left"/>
        <w:rPr>
          <w:rFonts w:ascii="Times New Roman" w:eastAsia="맑은 고딕"/>
          <w:i/>
          <w:iCs/>
        </w:rPr>
      </w:pPr>
    </w:p>
    <w:p w:rsidR="006E7583" w:rsidRDefault="006E7583" w:rsidP="00893349">
      <w:pPr>
        <w:spacing w:before="120" w:after="120"/>
        <w:ind w:firstLineChars="100" w:firstLine="220"/>
        <w:rPr>
          <w:rFonts w:ascii="Times New Roman"/>
          <w:sz w:val="22"/>
          <w:szCs w:val="22"/>
        </w:rPr>
      </w:pPr>
      <w:r w:rsidRPr="000474BB">
        <w:rPr>
          <w:rFonts w:ascii="Times New Roman"/>
          <w:sz w:val="22"/>
          <w:szCs w:val="22"/>
        </w:rPr>
        <w:t>If the DL data arrives at the UE much later than the DL control signal, the UE has to buffer the received DL data until the UE becomes ready</w:t>
      </w:r>
      <w:r w:rsidR="00EC1A8A">
        <w:rPr>
          <w:rFonts w:ascii="Times New Roman"/>
          <w:sz w:val="22"/>
          <w:szCs w:val="22"/>
        </w:rPr>
        <w:t xml:space="preserve"> to decode the DL data</w:t>
      </w:r>
      <w:r w:rsidRPr="000474BB">
        <w:rPr>
          <w:rFonts w:ascii="Times New Roman"/>
          <w:sz w:val="22"/>
          <w:szCs w:val="22"/>
        </w:rPr>
        <w:t xml:space="preserve"> </w:t>
      </w:r>
      <w:r w:rsidR="00EC1A8A">
        <w:rPr>
          <w:rFonts w:ascii="Times New Roman"/>
          <w:sz w:val="22"/>
          <w:szCs w:val="22"/>
        </w:rPr>
        <w:t>by decoding the DCI</w:t>
      </w:r>
      <w:r w:rsidRPr="000474BB">
        <w:rPr>
          <w:rFonts w:ascii="Times New Roman"/>
          <w:sz w:val="22"/>
          <w:szCs w:val="22"/>
        </w:rPr>
        <w:t xml:space="preserve">. The amount of the delay difference between the DL data and the DL control that can be tolerated by the UE is obviously determined by the DL receive buffer available at the </w:t>
      </w:r>
      <w:r w:rsidR="00EC1A8A">
        <w:rPr>
          <w:rFonts w:ascii="Times New Roman"/>
          <w:sz w:val="22"/>
          <w:szCs w:val="22"/>
        </w:rPr>
        <w:t xml:space="preserve">UE </w:t>
      </w:r>
      <w:r w:rsidRPr="000474BB">
        <w:rPr>
          <w:rFonts w:ascii="Times New Roman"/>
          <w:sz w:val="22"/>
          <w:szCs w:val="22"/>
        </w:rPr>
        <w:t xml:space="preserve">device. Therefore, the DL receive timing difference requirement can be determined based on the DL receive buffer size available at the UE. The buffering requirement </w:t>
      </w:r>
      <w:r w:rsidR="00EC1A8A">
        <w:rPr>
          <w:rFonts w:ascii="Times New Roman"/>
          <w:sz w:val="22"/>
          <w:szCs w:val="22"/>
        </w:rPr>
        <w:t xml:space="preserve">also </w:t>
      </w:r>
      <w:r w:rsidRPr="000474BB">
        <w:rPr>
          <w:rFonts w:ascii="Times New Roman"/>
          <w:sz w:val="22"/>
          <w:szCs w:val="22"/>
        </w:rPr>
        <w:t>depends on the DL receive bandwidth which is proportional to the data rate and hence to the amount of DL data that should be stored given the DL receive timing difference. Besides, CP overhead may also affect the buffering requirement at the UE because the CP portion doesn’t have to be stored at the UE, which eventually reduces the buffering needs at the receiver given the receive timing difference.</w:t>
      </w:r>
    </w:p>
    <w:p w:rsidR="00910CB8" w:rsidRPr="000474BB" w:rsidRDefault="00910CB8" w:rsidP="00893349">
      <w:pPr>
        <w:spacing w:before="120" w:after="120"/>
        <w:ind w:firstLineChars="100" w:firstLine="220"/>
        <w:rPr>
          <w:rFonts w:ascii="Times New Roman"/>
          <w:sz w:val="22"/>
          <w:szCs w:val="22"/>
        </w:rPr>
      </w:pPr>
    </w:p>
    <w:p w:rsidR="006E7583" w:rsidRPr="000474BB" w:rsidRDefault="006E7583" w:rsidP="006E7583">
      <w:pPr>
        <w:spacing w:before="120" w:after="120"/>
        <w:rPr>
          <w:rFonts w:ascii="Times New Roman"/>
          <w:i/>
          <w:sz w:val="22"/>
          <w:szCs w:val="22"/>
        </w:rPr>
      </w:pPr>
      <w:r w:rsidRPr="000474BB">
        <w:rPr>
          <w:rFonts w:ascii="Times New Roman"/>
          <w:b/>
          <w:i/>
          <w:sz w:val="22"/>
          <w:szCs w:val="22"/>
        </w:rPr>
        <w:t>Proposal 2: Take into account the DL receive buffer size available at the UE, UE receive bandwidth capability and the CP overhead for determination of NR DL receive timing difference requirement.</w:t>
      </w:r>
      <w:r w:rsidRPr="000474BB">
        <w:rPr>
          <w:rFonts w:ascii="Times New Roman"/>
          <w:i/>
          <w:sz w:val="22"/>
          <w:szCs w:val="22"/>
        </w:rPr>
        <w:t xml:space="preserve">  </w:t>
      </w:r>
    </w:p>
    <w:p w:rsidR="006E7583" w:rsidRPr="000474BB" w:rsidRDefault="006E7583" w:rsidP="006E7583">
      <w:pPr>
        <w:spacing w:before="120" w:after="120"/>
        <w:rPr>
          <w:rFonts w:ascii="Times New Roman"/>
          <w:sz w:val="22"/>
          <w:szCs w:val="22"/>
        </w:rPr>
      </w:pP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For multiple TAGs, it was agreed to support PRACH transmission for timing advance acquisition on secondary component carrier (SCC). Being in RRC-CONNECTED state, RACH procedure to acquire TA on the SCC can be initiated by PDCCH order. Once UE receives PDCCH order on subframe n, the UE transmits a random access preamble using a pre-configured PRACH resource after subframe n+k0, e.g., k0=6. Then eNB, upon successful reception of the preamble on subframe n, sends RAR message containing TA command to UE on subframe</w:t>
      </w:r>
      <w:r w:rsidR="00EC1A8A">
        <w:rPr>
          <w:rFonts w:ascii="Times New Roman"/>
          <w:sz w:val="22"/>
          <w:szCs w:val="22"/>
        </w:rPr>
        <w:t xml:space="preserve"> </w:t>
      </w:r>
      <w:r w:rsidRPr="000474BB">
        <w:rPr>
          <w:rFonts w:ascii="Times New Roman"/>
          <w:sz w:val="22"/>
          <w:szCs w:val="22"/>
        </w:rPr>
        <w:t>n+k1</w:t>
      </w:r>
      <w:r w:rsidR="00FD45FD">
        <w:rPr>
          <w:rFonts w:ascii="Times New Roman"/>
          <w:sz w:val="22"/>
          <w:szCs w:val="22"/>
        </w:rPr>
        <w:t xml:space="preserve"> which is</w:t>
      </w:r>
      <w:r w:rsidRPr="000474BB">
        <w:rPr>
          <w:rFonts w:ascii="Times New Roman"/>
          <w:sz w:val="22"/>
          <w:szCs w:val="22"/>
        </w:rPr>
        <w:t xml:space="preserve"> within the RAR window </w:t>
      </w:r>
      <w:r w:rsidR="00FD45FD">
        <w:rPr>
          <w:rFonts w:ascii="Times New Roman"/>
          <w:sz w:val="22"/>
          <w:szCs w:val="22"/>
        </w:rPr>
        <w:t xml:space="preserve">that has </w:t>
      </w:r>
      <w:r w:rsidRPr="000474BB">
        <w:rPr>
          <w:rFonts w:ascii="Times New Roman"/>
          <w:sz w:val="22"/>
          <w:szCs w:val="22"/>
        </w:rPr>
        <w:t xml:space="preserve">start and duration </w:t>
      </w:r>
      <w:r w:rsidR="00FD45FD">
        <w:rPr>
          <w:rFonts w:ascii="Times New Roman"/>
          <w:sz w:val="22"/>
          <w:szCs w:val="22"/>
        </w:rPr>
        <w:t>also configured</w:t>
      </w:r>
      <w:r w:rsidRPr="000474BB">
        <w:rPr>
          <w:rFonts w:ascii="Times New Roman"/>
          <w:sz w:val="22"/>
          <w:szCs w:val="22"/>
        </w:rPr>
        <w:t xml:space="preserve"> in subframe units. UE then proceeds to send Msg3 on subframe n+k2 with the timing adjust</w:t>
      </w:r>
      <w:r w:rsidR="00FD45FD">
        <w:rPr>
          <w:rFonts w:ascii="Times New Roman"/>
          <w:sz w:val="22"/>
          <w:szCs w:val="22"/>
        </w:rPr>
        <w:t xml:space="preserve">ed by the amount that </w:t>
      </w:r>
      <w:r w:rsidRPr="000474BB">
        <w:rPr>
          <w:rFonts w:ascii="Times New Roman"/>
          <w:sz w:val="22"/>
          <w:szCs w:val="22"/>
        </w:rPr>
        <w:t xml:space="preserve">is indicated </w:t>
      </w:r>
      <w:r w:rsidR="00FD45FD">
        <w:rPr>
          <w:rFonts w:ascii="Times New Roman"/>
          <w:sz w:val="22"/>
          <w:szCs w:val="22"/>
        </w:rPr>
        <w:t xml:space="preserve">by TA command </w:t>
      </w:r>
      <w:r w:rsidRPr="000474BB">
        <w:rPr>
          <w:rFonts w:ascii="Times New Roman"/>
          <w:sz w:val="22"/>
          <w:szCs w:val="22"/>
        </w:rPr>
        <w:t xml:space="preserve">in RAR message received on subframe n. </w:t>
      </w:r>
    </w:p>
    <w:p w:rsidR="006E7583" w:rsidRDefault="006E7583" w:rsidP="00893349">
      <w:pPr>
        <w:spacing w:before="120" w:after="120"/>
        <w:ind w:firstLineChars="100" w:firstLine="220"/>
        <w:rPr>
          <w:rFonts w:ascii="Times New Roman"/>
          <w:sz w:val="22"/>
          <w:szCs w:val="22"/>
        </w:rPr>
      </w:pPr>
      <w:r w:rsidRPr="000474BB">
        <w:rPr>
          <w:rFonts w:ascii="Times New Roman"/>
          <w:sz w:val="22"/>
          <w:szCs w:val="22"/>
        </w:rPr>
        <w:t xml:space="preserve">Considering a wide range of subcarrier spacings in NR, the absolute time </w:t>
      </w:r>
      <w:r w:rsidR="00FD45FD">
        <w:rPr>
          <w:rFonts w:ascii="Times New Roman"/>
          <w:sz w:val="22"/>
          <w:szCs w:val="22"/>
        </w:rPr>
        <w:t>indicated by slot based timing</w:t>
      </w:r>
      <w:r w:rsidR="00120D3A">
        <w:rPr>
          <w:rFonts w:ascii="Times New Roman"/>
          <w:sz w:val="22"/>
          <w:szCs w:val="22"/>
        </w:rPr>
        <w:t>, i.e., k0/k1/k2 in slots,</w:t>
      </w:r>
      <w:r w:rsidR="00FD45FD">
        <w:rPr>
          <w:rFonts w:ascii="Times New Roman"/>
          <w:sz w:val="22"/>
          <w:szCs w:val="22"/>
        </w:rPr>
        <w:t xml:space="preserve"> </w:t>
      </w:r>
      <w:r w:rsidRPr="000474BB">
        <w:rPr>
          <w:rFonts w:ascii="Times New Roman"/>
          <w:sz w:val="22"/>
          <w:szCs w:val="22"/>
        </w:rPr>
        <w:t xml:space="preserve">is widely different among different subcarrier spacings, e.g., 8 times shorter for 120 kHz subcarrier spacing than 15 kHz subcarrier spacing. And also keeping in mind that NR supports CA with different numerologies, it is needed to study how to define the timings for DL/UL transmission associated with random access procedure in NR carrier aggregation scenarios. Similar considerations should also be given to the timings related to the SCell activation/deactivation (e.g., deactivation timer, SRS transmission, CSI report, PDCCH monitoring, PHR trigger, etc.). </w:t>
      </w:r>
    </w:p>
    <w:p w:rsidR="00910CB8" w:rsidRPr="000474BB" w:rsidRDefault="00910CB8" w:rsidP="00893349">
      <w:pPr>
        <w:spacing w:before="120" w:after="120"/>
        <w:ind w:firstLineChars="100" w:firstLine="220"/>
        <w:rPr>
          <w:rFonts w:ascii="Times New Roman"/>
          <w:sz w:val="22"/>
          <w:szCs w:val="22"/>
        </w:rPr>
      </w:pPr>
    </w:p>
    <w:p w:rsidR="006E7583" w:rsidRPr="000474BB" w:rsidRDefault="006E7583" w:rsidP="006E7583">
      <w:pPr>
        <w:spacing w:before="120" w:after="120"/>
        <w:rPr>
          <w:rFonts w:ascii="Times New Roman"/>
          <w:b/>
          <w:i/>
          <w:sz w:val="22"/>
          <w:szCs w:val="22"/>
        </w:rPr>
      </w:pPr>
      <w:r w:rsidRPr="000474BB">
        <w:rPr>
          <w:rFonts w:ascii="Times New Roman"/>
          <w:b/>
          <w:i/>
          <w:sz w:val="22"/>
          <w:szCs w:val="22"/>
        </w:rPr>
        <w:t xml:space="preserve">Proposal 3: Consider indication of the timings for DL/UL transmissions associated with the random access procedure in absolute time as well as in slots or symbols under NR carrier aggregation.  </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 xml:space="preserve">PDCCH order to Msg1 transmission timing </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RAR window timing</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 xml:space="preserve">RAR to Msg3 transmission timing </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SCell activation/deactivation related timing</w:t>
      </w:r>
    </w:p>
    <w:p w:rsidR="006E7583" w:rsidRPr="000474BB" w:rsidRDefault="006E7583" w:rsidP="006E7583">
      <w:pPr>
        <w:spacing w:before="120" w:after="120"/>
        <w:rPr>
          <w:rFonts w:ascii="Times New Roman"/>
          <w:sz w:val="22"/>
          <w:szCs w:val="22"/>
        </w:rPr>
      </w:pPr>
    </w:p>
    <w:p w:rsidR="006E7583" w:rsidRDefault="006E7583" w:rsidP="00B93CFB">
      <w:pPr>
        <w:spacing w:before="120" w:after="120"/>
        <w:ind w:firstLineChars="100" w:firstLine="220"/>
        <w:rPr>
          <w:rFonts w:ascii="Times New Roman"/>
          <w:sz w:val="22"/>
          <w:szCs w:val="22"/>
        </w:rPr>
      </w:pPr>
      <w:r w:rsidRPr="000474BB">
        <w:rPr>
          <w:rFonts w:ascii="Times New Roman"/>
          <w:sz w:val="22"/>
          <w:szCs w:val="22"/>
        </w:rPr>
        <w:lastRenderedPageBreak/>
        <w:t xml:space="preserve">The TA command carries information on the negative timing offset, at the UE, between the start of the received downlink slot and that of the transmitted uplink slot to align the uplink and the downlink slots at the eNB. In LTE, the basic unit of TA command is always 16Ts, where 1Ts is 1/30720000 seconds. However considering a wide range of CP lengths in NR corresponding to the support of a wide range of subcarrier spacings, the single fixed value of the basic unit as in LTE does no longer provide sufficient granularity of timing adjustment for some numerologies, e.g., for large subcarrier spacings such as 120 kHz. Therefore, the discussion on how to provide sufficient TA control granularities for all numerologies in support should be discussed. For this, we propose a few options to consider as the basic unit of the TA command. </w:t>
      </w:r>
    </w:p>
    <w:p w:rsidR="00910CB8" w:rsidRPr="000474BB" w:rsidRDefault="00910CB8" w:rsidP="00B93CFB">
      <w:pPr>
        <w:spacing w:before="120" w:after="120"/>
        <w:ind w:firstLineChars="100" w:firstLine="220"/>
        <w:rPr>
          <w:rFonts w:ascii="Times New Roman"/>
          <w:sz w:val="22"/>
          <w:szCs w:val="22"/>
        </w:rPr>
      </w:pPr>
    </w:p>
    <w:p w:rsidR="006E7583" w:rsidRPr="000474BB" w:rsidRDefault="006E7583" w:rsidP="006E7583">
      <w:pPr>
        <w:spacing w:before="120" w:after="120"/>
        <w:rPr>
          <w:rFonts w:ascii="Times New Roman"/>
          <w:b/>
          <w:i/>
          <w:sz w:val="22"/>
          <w:szCs w:val="22"/>
        </w:rPr>
      </w:pPr>
      <w:r w:rsidRPr="000474BB">
        <w:rPr>
          <w:rFonts w:ascii="Times New Roman"/>
          <w:b/>
          <w:i/>
          <w:sz w:val="22"/>
          <w:szCs w:val="22"/>
        </w:rPr>
        <w:t>Proposal 4: Consider the following options below for the basic unit of TA command:</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Opt.1</w:t>
      </w:r>
      <w:r w:rsidRPr="000474BB">
        <w:rPr>
          <w:rFonts w:ascii="Times New Roman"/>
          <w:b/>
          <w:i/>
          <w:sz w:val="22"/>
          <w:szCs w:val="22"/>
        </w:rPr>
        <w:tab/>
        <w:t>Fixed time (in us) regardless of the subcarrier spacing in use</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Opt.2</w:t>
      </w:r>
      <w:r w:rsidRPr="000474BB">
        <w:rPr>
          <w:rFonts w:ascii="Times New Roman"/>
          <w:b/>
          <w:i/>
          <w:sz w:val="22"/>
          <w:szCs w:val="22"/>
        </w:rPr>
        <w:tab/>
        <w:t>Scaled time (in us) according to the subcarrier spacing in use</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Opt.3</w:t>
      </w:r>
      <w:r w:rsidRPr="000474BB">
        <w:rPr>
          <w:rFonts w:ascii="Times New Roman"/>
          <w:b/>
          <w:i/>
          <w:sz w:val="22"/>
          <w:szCs w:val="22"/>
        </w:rPr>
        <w:tab/>
        <w:t>Configurable, e.g., by SIB or by any other sig</w:t>
      </w:r>
      <w:bookmarkStart w:id="2" w:name="_GoBack"/>
      <w:bookmarkEnd w:id="2"/>
      <w:r w:rsidRPr="000474BB">
        <w:rPr>
          <w:rFonts w:ascii="Times New Roman"/>
          <w:b/>
          <w:i/>
          <w:sz w:val="22"/>
          <w:szCs w:val="22"/>
        </w:rPr>
        <w:t xml:space="preserve">nalling mechanism </w:t>
      </w:r>
    </w:p>
    <w:p w:rsidR="006E7583" w:rsidRPr="000474BB" w:rsidRDefault="006E7583" w:rsidP="006E7583">
      <w:pPr>
        <w:spacing w:before="120" w:after="120"/>
        <w:rPr>
          <w:rFonts w:ascii="Times New Roman"/>
          <w:sz w:val="22"/>
          <w:szCs w:val="22"/>
        </w:rPr>
      </w:pPr>
    </w:p>
    <w:p w:rsidR="006E7583" w:rsidRPr="000474BB" w:rsidRDefault="006E7583" w:rsidP="006E7583">
      <w:pPr>
        <w:spacing w:before="120" w:after="120"/>
        <w:ind w:firstLineChars="100" w:firstLine="220"/>
        <w:rPr>
          <w:rFonts w:ascii="Times New Roman"/>
          <w:sz w:val="22"/>
          <w:szCs w:val="22"/>
        </w:rPr>
      </w:pPr>
      <w:r w:rsidRPr="000474BB">
        <w:rPr>
          <w:rFonts w:ascii="Times New Roman"/>
          <w:sz w:val="22"/>
          <w:szCs w:val="22"/>
        </w:rPr>
        <w:t xml:space="preserve">In addition to the basic unit of the TA command, maximum TA should be discussed for a complete description of the TA command to be carried in MAC RAR or MAC CE. The maximum TA determines the largest cell radius </w:t>
      </w:r>
      <w:r w:rsidR="00A37783">
        <w:rPr>
          <w:rFonts w:ascii="Times New Roman"/>
          <w:sz w:val="22"/>
          <w:szCs w:val="22"/>
        </w:rPr>
        <w:t xml:space="preserve">that a UE can support, but </w:t>
      </w:r>
      <w:r w:rsidRPr="000474BB">
        <w:rPr>
          <w:rFonts w:ascii="Times New Roman"/>
          <w:sz w:val="22"/>
          <w:szCs w:val="22"/>
        </w:rPr>
        <w:t xml:space="preserve">support of the larger maximum TA comes at the cost of a larger number of bits in a TA command. </w:t>
      </w:r>
      <w:r w:rsidR="00A37783">
        <w:rPr>
          <w:rFonts w:ascii="Times New Roman"/>
          <w:sz w:val="22"/>
          <w:szCs w:val="22"/>
        </w:rPr>
        <w:t>To determine maximum TA value in NR CA,</w:t>
      </w:r>
      <w:r w:rsidRPr="000474BB">
        <w:rPr>
          <w:rFonts w:ascii="Times New Roman"/>
          <w:sz w:val="22"/>
          <w:szCs w:val="22"/>
        </w:rPr>
        <w:t xml:space="preserve"> </w:t>
      </w:r>
      <w:r w:rsidR="00A37783">
        <w:rPr>
          <w:rFonts w:ascii="Times New Roman"/>
          <w:sz w:val="22"/>
          <w:szCs w:val="22"/>
        </w:rPr>
        <w:t>implications of</w:t>
      </w:r>
      <w:r w:rsidRPr="000474BB">
        <w:rPr>
          <w:rFonts w:ascii="Times New Roman"/>
          <w:sz w:val="22"/>
          <w:szCs w:val="22"/>
        </w:rPr>
        <w:t xml:space="preserve"> </w:t>
      </w:r>
      <w:r w:rsidR="00A37783">
        <w:rPr>
          <w:rFonts w:ascii="Times New Roman"/>
          <w:sz w:val="22"/>
          <w:szCs w:val="22"/>
        </w:rPr>
        <w:t xml:space="preserve">supporting different numerologies per CC or among CCs </w:t>
      </w:r>
      <w:r w:rsidRPr="000474BB">
        <w:rPr>
          <w:rFonts w:ascii="Times New Roman"/>
          <w:sz w:val="22"/>
          <w:szCs w:val="22"/>
        </w:rPr>
        <w:t xml:space="preserve">should also be further discussed. In general, higher subcarrier spacing is expected to be used in conjunction with the higher frequency band in which case the maximum TA may be reduced without a major concern. In this case, both the basic unit of TA and the maximum TA can be scaled down in inverse proportion to the subcarrier spacing used in NR CA. If a TAG comprises CCs with different numerologies, to which subcarrier spacing the maximum TA refer needs to be determined. For example, the basic unit and the maximum TA can be determined in inverse proportion to the largest subcarrier spacing comprising the TAG. On the other hand, there may be cases we want to increase the TA granularity without reducing the maximum TA from LTE. In this case, the basic unit of TA </w:t>
      </w:r>
      <w:r w:rsidR="00914867">
        <w:rPr>
          <w:rFonts w:ascii="Times New Roman"/>
          <w:sz w:val="22"/>
          <w:szCs w:val="22"/>
        </w:rPr>
        <w:t xml:space="preserve">can be scaled down </w:t>
      </w:r>
      <w:r w:rsidRPr="000474BB">
        <w:rPr>
          <w:rFonts w:ascii="Times New Roman"/>
          <w:sz w:val="22"/>
          <w:szCs w:val="22"/>
        </w:rPr>
        <w:t xml:space="preserve">only for TA tracking, i.e., for TA command in MAC CE, while the maximum TA for initial TA, i.e., for TA command in MAC RAR, </w:t>
      </w:r>
      <w:r w:rsidR="00914867">
        <w:rPr>
          <w:rFonts w:ascii="Times New Roman"/>
          <w:sz w:val="22"/>
          <w:szCs w:val="22"/>
        </w:rPr>
        <w:t>is left unchanged, e.g., same as LTE</w:t>
      </w:r>
      <w:r w:rsidRPr="000474BB">
        <w:rPr>
          <w:rFonts w:ascii="Times New Roman"/>
          <w:sz w:val="22"/>
          <w:szCs w:val="22"/>
        </w:rPr>
        <w:t xml:space="preserve">. </w:t>
      </w:r>
    </w:p>
    <w:p w:rsidR="006E7583" w:rsidRDefault="006E7583" w:rsidP="00B93CFB">
      <w:pPr>
        <w:spacing w:before="120" w:after="120"/>
        <w:ind w:firstLineChars="100" w:firstLine="220"/>
        <w:rPr>
          <w:rFonts w:ascii="Times New Roman"/>
          <w:sz w:val="22"/>
          <w:szCs w:val="22"/>
        </w:rPr>
      </w:pPr>
      <w:r w:rsidRPr="000474BB">
        <w:rPr>
          <w:rFonts w:ascii="Times New Roman"/>
          <w:sz w:val="22"/>
          <w:szCs w:val="22"/>
        </w:rPr>
        <w:t xml:space="preserve">Lastly, the implications of NR CA with different numerologies on the maximum UL timing difference requirement should </w:t>
      </w:r>
      <w:r w:rsidR="00914867">
        <w:rPr>
          <w:rFonts w:ascii="Times New Roman"/>
          <w:sz w:val="22"/>
          <w:szCs w:val="22"/>
        </w:rPr>
        <w:t xml:space="preserve">also </w:t>
      </w:r>
      <w:r w:rsidRPr="000474BB">
        <w:rPr>
          <w:rFonts w:ascii="Times New Roman"/>
          <w:sz w:val="22"/>
          <w:szCs w:val="22"/>
        </w:rPr>
        <w:t xml:space="preserve">be discussed. Especially for determining the maximum UL transmit timing difference requirement, the impairments arising from the difficulty of power allocation to two UL transmissions with a large difference in TA values should be taken into account. For this, if UL CCs or slots with large subcarrier spacings are involved, putting more stringent requirement on the maximum UL transmit timing difference between NR CCs </w:t>
      </w:r>
      <w:r w:rsidR="00914867">
        <w:rPr>
          <w:rFonts w:ascii="Times New Roman"/>
          <w:sz w:val="22"/>
          <w:szCs w:val="22"/>
        </w:rPr>
        <w:t>needs to be</w:t>
      </w:r>
      <w:r w:rsidRPr="000474BB">
        <w:rPr>
          <w:rFonts w:ascii="Times New Roman"/>
          <w:sz w:val="22"/>
          <w:szCs w:val="22"/>
        </w:rPr>
        <w:t xml:space="preserve"> consider</w:t>
      </w:r>
      <w:r w:rsidR="00914867">
        <w:rPr>
          <w:rFonts w:ascii="Times New Roman"/>
          <w:sz w:val="22"/>
          <w:szCs w:val="22"/>
        </w:rPr>
        <w:t>ed</w:t>
      </w:r>
      <w:r w:rsidRPr="000474BB">
        <w:rPr>
          <w:rFonts w:ascii="Times New Roman"/>
          <w:sz w:val="22"/>
          <w:szCs w:val="22"/>
        </w:rPr>
        <w:t xml:space="preserve"> to avoid any harmful impact.</w:t>
      </w:r>
    </w:p>
    <w:p w:rsidR="00191105" w:rsidRPr="000474BB" w:rsidRDefault="00191105" w:rsidP="00B93CFB">
      <w:pPr>
        <w:spacing w:before="120" w:after="120"/>
        <w:ind w:firstLineChars="100" w:firstLine="220"/>
        <w:rPr>
          <w:rFonts w:ascii="Times New Roman"/>
          <w:sz w:val="22"/>
          <w:szCs w:val="22"/>
        </w:rPr>
      </w:pPr>
    </w:p>
    <w:p w:rsidR="005A4155" w:rsidRPr="001C645C" w:rsidRDefault="00CD2DD8" w:rsidP="005A4155">
      <w:pPr>
        <w:spacing w:before="160" w:after="160"/>
        <w:rPr>
          <w:rFonts w:ascii="Times New Roman"/>
          <w:b/>
          <w:i/>
          <w:sz w:val="22"/>
          <w:szCs w:val="22"/>
        </w:rPr>
      </w:pPr>
      <w:r w:rsidRPr="005C0D84">
        <w:rPr>
          <w:rFonts w:ascii="Times New Roman"/>
          <w:b/>
          <w:i/>
          <w:sz w:val="22"/>
          <w:szCs w:val="22"/>
        </w:rPr>
        <w:t xml:space="preserve">Proposal 5: </w:t>
      </w:r>
      <w:r w:rsidR="005A4155" w:rsidRPr="005C0D84">
        <w:rPr>
          <w:rFonts w:ascii="Times New Roman"/>
          <w:b/>
          <w:i/>
          <w:sz w:val="22"/>
          <w:szCs w:val="22"/>
        </w:rPr>
        <w:t>At least one of the following options is supported for maximum TA in N</w:t>
      </w:r>
      <w:r w:rsidR="005A4155" w:rsidRPr="001C645C">
        <w:rPr>
          <w:rFonts w:ascii="Times New Roman"/>
          <w:b/>
          <w:i/>
          <w:sz w:val="22"/>
          <w:szCs w:val="22"/>
        </w:rPr>
        <w:t>R CA</w:t>
      </w:r>
      <w:r w:rsidR="001F78F5" w:rsidRPr="001C645C">
        <w:rPr>
          <w:rFonts w:ascii="Times New Roman"/>
          <w:b/>
          <w:i/>
          <w:sz w:val="22"/>
          <w:szCs w:val="22"/>
        </w:rPr>
        <w:t xml:space="preserve"> with the </w:t>
      </w:r>
      <w:r w:rsidR="008E02D9" w:rsidRPr="001C645C">
        <w:rPr>
          <w:rFonts w:ascii="Times New Roman"/>
          <w:b/>
          <w:i/>
          <w:sz w:val="22"/>
          <w:szCs w:val="22"/>
        </w:rPr>
        <w:t>single</w:t>
      </w:r>
      <w:r w:rsidR="001F78F5" w:rsidRPr="001C645C">
        <w:rPr>
          <w:rFonts w:ascii="Times New Roman"/>
          <w:b/>
          <w:i/>
          <w:sz w:val="22"/>
          <w:szCs w:val="22"/>
        </w:rPr>
        <w:t xml:space="preserve"> numerology</w:t>
      </w:r>
      <w:r w:rsidR="005A4155" w:rsidRPr="001C645C">
        <w:rPr>
          <w:rFonts w:ascii="Times New Roman"/>
          <w:b/>
          <w:i/>
          <w:sz w:val="22"/>
          <w:szCs w:val="22"/>
        </w:rPr>
        <w:t>:</w:t>
      </w:r>
    </w:p>
    <w:p w:rsidR="00CD2DD8" w:rsidRPr="001C645C" w:rsidRDefault="00CD2DD8" w:rsidP="003D2FA9">
      <w:pPr>
        <w:widowControl/>
        <w:numPr>
          <w:ilvl w:val="0"/>
          <w:numId w:val="9"/>
        </w:numPr>
        <w:wordWrap/>
        <w:autoSpaceDE/>
        <w:autoSpaceDN/>
        <w:spacing w:before="120" w:after="120"/>
        <w:ind w:left="1004" w:hanging="403"/>
        <w:contextualSpacing/>
        <w:rPr>
          <w:rFonts w:ascii="Times New Roman"/>
          <w:b/>
          <w:i/>
          <w:sz w:val="22"/>
          <w:szCs w:val="22"/>
        </w:rPr>
      </w:pPr>
      <w:r w:rsidRPr="001C645C">
        <w:rPr>
          <w:rFonts w:ascii="Times New Roman"/>
          <w:b/>
          <w:i/>
          <w:sz w:val="22"/>
          <w:szCs w:val="22"/>
        </w:rPr>
        <w:t>Opt.1</w:t>
      </w:r>
      <w:r w:rsidRPr="001C645C">
        <w:rPr>
          <w:rFonts w:ascii="Times New Roman"/>
          <w:b/>
          <w:i/>
          <w:sz w:val="22"/>
          <w:szCs w:val="22"/>
        </w:rPr>
        <w:tab/>
        <w:t xml:space="preserve">Scale </w:t>
      </w:r>
      <w:r w:rsidR="005A4155" w:rsidRPr="001C645C">
        <w:rPr>
          <w:rFonts w:ascii="Times New Roman"/>
          <w:b/>
          <w:i/>
          <w:sz w:val="22"/>
          <w:szCs w:val="22"/>
        </w:rPr>
        <w:t xml:space="preserve">down </w:t>
      </w:r>
      <w:r w:rsidRPr="001C645C">
        <w:rPr>
          <w:rFonts w:ascii="Times New Roman"/>
          <w:b/>
          <w:i/>
          <w:sz w:val="22"/>
          <w:szCs w:val="22"/>
        </w:rPr>
        <w:t xml:space="preserve">the maximum TA </w:t>
      </w:r>
      <w:r w:rsidR="005A4155" w:rsidRPr="001C645C">
        <w:rPr>
          <w:rFonts w:ascii="Times New Roman"/>
          <w:b/>
          <w:i/>
          <w:sz w:val="22"/>
          <w:szCs w:val="22"/>
        </w:rPr>
        <w:t>in inverse proportion to the</w:t>
      </w:r>
      <w:r w:rsidRPr="001C645C">
        <w:rPr>
          <w:rFonts w:ascii="Times New Roman"/>
          <w:b/>
          <w:i/>
          <w:sz w:val="22"/>
          <w:szCs w:val="22"/>
        </w:rPr>
        <w:t xml:space="preserve"> </w:t>
      </w:r>
      <w:r w:rsidR="005A4155" w:rsidRPr="001C645C">
        <w:rPr>
          <w:rFonts w:ascii="Times New Roman"/>
          <w:b/>
          <w:i/>
          <w:sz w:val="22"/>
          <w:szCs w:val="22"/>
        </w:rPr>
        <w:t>subcarrier spacing</w:t>
      </w:r>
    </w:p>
    <w:p w:rsidR="00CD2DD8" w:rsidRDefault="00CD2DD8" w:rsidP="003D2FA9">
      <w:pPr>
        <w:widowControl/>
        <w:numPr>
          <w:ilvl w:val="0"/>
          <w:numId w:val="9"/>
        </w:numPr>
        <w:wordWrap/>
        <w:autoSpaceDE/>
        <w:autoSpaceDN/>
        <w:spacing w:before="120" w:after="120"/>
        <w:ind w:left="1004" w:hanging="403"/>
        <w:contextualSpacing/>
        <w:rPr>
          <w:rFonts w:ascii="Times New Roman"/>
          <w:b/>
          <w:i/>
          <w:sz w:val="22"/>
          <w:szCs w:val="22"/>
        </w:rPr>
      </w:pPr>
      <w:r w:rsidRPr="001C645C">
        <w:rPr>
          <w:rFonts w:ascii="Times New Roman"/>
          <w:b/>
          <w:i/>
          <w:sz w:val="22"/>
          <w:szCs w:val="22"/>
        </w:rPr>
        <w:t>Opt.2</w:t>
      </w:r>
      <w:r w:rsidRPr="001C645C">
        <w:rPr>
          <w:rFonts w:ascii="Times New Roman"/>
          <w:b/>
          <w:i/>
          <w:sz w:val="22"/>
          <w:szCs w:val="22"/>
        </w:rPr>
        <w:tab/>
      </w:r>
      <w:r w:rsidR="00191105" w:rsidRPr="001C645C">
        <w:rPr>
          <w:rFonts w:ascii="Times New Roman"/>
          <w:b/>
          <w:i/>
          <w:sz w:val="22"/>
          <w:szCs w:val="22"/>
        </w:rPr>
        <w:t xml:space="preserve">Fix the maximum TA regardless of the subcarrier spacing </w:t>
      </w:r>
    </w:p>
    <w:p w:rsidR="00E93008" w:rsidRPr="00E93008" w:rsidRDefault="00E93008" w:rsidP="003D2FA9">
      <w:pPr>
        <w:widowControl/>
        <w:numPr>
          <w:ilvl w:val="0"/>
          <w:numId w:val="9"/>
        </w:numPr>
        <w:wordWrap/>
        <w:autoSpaceDE/>
        <w:autoSpaceDN/>
        <w:spacing w:before="120" w:after="120"/>
        <w:ind w:left="1004" w:hanging="403"/>
        <w:contextualSpacing/>
        <w:rPr>
          <w:rFonts w:ascii="Times New Roman"/>
          <w:b/>
          <w:i/>
          <w:sz w:val="22"/>
          <w:szCs w:val="22"/>
        </w:rPr>
      </w:pPr>
      <w:r w:rsidRPr="00E93008">
        <w:rPr>
          <w:rFonts w:ascii="Times New Roman"/>
          <w:b/>
          <w:i/>
          <w:sz w:val="22"/>
          <w:szCs w:val="22"/>
        </w:rPr>
        <w:t>Opt.3</w:t>
      </w:r>
      <w:r w:rsidRPr="00E93008">
        <w:rPr>
          <w:rFonts w:ascii="Times New Roman"/>
          <w:b/>
          <w:i/>
          <w:sz w:val="22"/>
          <w:szCs w:val="22"/>
        </w:rPr>
        <w:tab/>
        <w:t xml:space="preserve">Configurable, e.g., by SIB or by any other signalling mechanism </w:t>
      </w:r>
    </w:p>
    <w:p w:rsidR="008D6261" w:rsidRPr="001C645C" w:rsidRDefault="008D6261" w:rsidP="008D6261">
      <w:pPr>
        <w:widowControl/>
        <w:wordWrap/>
        <w:autoSpaceDE/>
        <w:autoSpaceDN/>
        <w:spacing w:before="120" w:after="120"/>
        <w:contextualSpacing/>
        <w:rPr>
          <w:rFonts w:ascii="Times New Roman"/>
          <w:b/>
          <w:i/>
          <w:sz w:val="22"/>
          <w:szCs w:val="22"/>
        </w:rPr>
      </w:pPr>
    </w:p>
    <w:p w:rsidR="00191105" w:rsidRPr="001C645C" w:rsidRDefault="00191105" w:rsidP="008D6261">
      <w:pPr>
        <w:spacing w:before="160" w:after="160"/>
        <w:rPr>
          <w:rFonts w:ascii="Times New Roman"/>
          <w:b/>
          <w:i/>
          <w:sz w:val="22"/>
          <w:szCs w:val="22"/>
        </w:rPr>
      </w:pPr>
      <w:r w:rsidRPr="001C645C">
        <w:rPr>
          <w:rFonts w:ascii="Times New Roman"/>
          <w:b/>
          <w:i/>
          <w:sz w:val="22"/>
          <w:szCs w:val="22"/>
        </w:rPr>
        <w:t xml:space="preserve">Proposal </w:t>
      </w:r>
      <w:r w:rsidR="008D6261" w:rsidRPr="001C645C">
        <w:rPr>
          <w:rFonts w:ascii="Times New Roman"/>
          <w:b/>
          <w:i/>
          <w:sz w:val="22"/>
          <w:szCs w:val="22"/>
        </w:rPr>
        <w:t>6</w:t>
      </w:r>
      <w:r w:rsidRPr="001C645C">
        <w:rPr>
          <w:rFonts w:ascii="Times New Roman"/>
          <w:b/>
          <w:i/>
          <w:sz w:val="22"/>
          <w:szCs w:val="22"/>
        </w:rPr>
        <w:t>: Maximum UL timing difference</w:t>
      </w:r>
      <w:r w:rsidR="008D6261" w:rsidRPr="001C645C">
        <w:rPr>
          <w:rFonts w:ascii="Times New Roman"/>
          <w:b/>
          <w:i/>
          <w:sz w:val="22"/>
          <w:szCs w:val="22"/>
        </w:rPr>
        <w:t xml:space="preserve"> requirement</w:t>
      </w:r>
      <w:r w:rsidRPr="001C645C">
        <w:rPr>
          <w:rFonts w:ascii="Times New Roman"/>
          <w:b/>
          <w:i/>
          <w:sz w:val="22"/>
          <w:szCs w:val="22"/>
        </w:rPr>
        <w:t xml:space="preserve"> between NR CCs with different subcarrier spacing </w:t>
      </w:r>
      <w:r w:rsidR="0012070D" w:rsidRPr="001C645C">
        <w:rPr>
          <w:rFonts w:ascii="Times New Roman"/>
          <w:b/>
          <w:i/>
          <w:sz w:val="22"/>
          <w:szCs w:val="22"/>
        </w:rPr>
        <w:t>is</w:t>
      </w:r>
      <w:r w:rsidRPr="001C645C">
        <w:rPr>
          <w:rFonts w:ascii="Times New Roman"/>
          <w:b/>
          <w:i/>
          <w:sz w:val="22"/>
          <w:szCs w:val="22"/>
        </w:rPr>
        <w:t xml:space="preserve"> determined </w:t>
      </w:r>
      <w:r w:rsidR="0012070D" w:rsidRPr="001C645C">
        <w:rPr>
          <w:rFonts w:ascii="Times New Roman"/>
          <w:b/>
          <w:i/>
          <w:sz w:val="22"/>
          <w:szCs w:val="22"/>
        </w:rPr>
        <w:t xml:space="preserve">by </w:t>
      </w:r>
      <w:r w:rsidR="008D6261" w:rsidRPr="001C645C">
        <w:rPr>
          <w:rFonts w:ascii="Times New Roman"/>
          <w:b/>
          <w:i/>
          <w:sz w:val="22"/>
          <w:szCs w:val="22"/>
        </w:rPr>
        <w:t xml:space="preserve">the maximum subcarrier spacing </w:t>
      </w:r>
      <w:r w:rsidR="0012070D" w:rsidRPr="001C645C">
        <w:rPr>
          <w:rFonts w:ascii="Times New Roman"/>
          <w:b/>
          <w:i/>
          <w:sz w:val="22"/>
          <w:szCs w:val="22"/>
        </w:rPr>
        <w:t>within the multiple TAGs.</w:t>
      </w:r>
    </w:p>
    <w:p w:rsidR="00CD2DD8" w:rsidRPr="001C645C" w:rsidRDefault="008D6261" w:rsidP="003D2FA9">
      <w:pPr>
        <w:widowControl/>
        <w:numPr>
          <w:ilvl w:val="0"/>
          <w:numId w:val="9"/>
        </w:numPr>
        <w:wordWrap/>
        <w:autoSpaceDE/>
        <w:autoSpaceDN/>
        <w:spacing w:before="160" w:after="160"/>
        <w:contextualSpacing/>
        <w:rPr>
          <w:rFonts w:ascii="Times New Roman"/>
          <w:b/>
          <w:i/>
          <w:sz w:val="22"/>
          <w:szCs w:val="22"/>
        </w:rPr>
      </w:pPr>
      <w:r w:rsidRPr="001C645C">
        <w:rPr>
          <w:rFonts w:ascii="Times New Roman"/>
          <w:b/>
          <w:i/>
          <w:sz w:val="22"/>
          <w:szCs w:val="22"/>
        </w:rPr>
        <w:t>FFS maximum UL timing difference requirement is fixed</w:t>
      </w:r>
      <w:r w:rsidR="0012070D" w:rsidRPr="001C645C">
        <w:rPr>
          <w:rFonts w:ascii="Times New Roman"/>
          <w:b/>
          <w:i/>
          <w:sz w:val="22"/>
          <w:szCs w:val="22"/>
        </w:rPr>
        <w:t xml:space="preserve"> reg</w:t>
      </w:r>
      <w:r w:rsidR="001F78F5" w:rsidRPr="001C645C">
        <w:rPr>
          <w:rFonts w:ascii="Times New Roman"/>
          <w:b/>
          <w:i/>
          <w:sz w:val="22"/>
          <w:szCs w:val="22"/>
        </w:rPr>
        <w:t>ardless of subcarrier spacings within the TAGs.</w:t>
      </w:r>
    </w:p>
    <w:p w:rsidR="006E7583" w:rsidRPr="001F78F5" w:rsidRDefault="006E7583" w:rsidP="006E7583">
      <w:pPr>
        <w:spacing w:before="120" w:after="120"/>
        <w:ind w:left="284" w:hangingChars="129" w:hanging="284"/>
        <w:rPr>
          <w:rFonts w:ascii="Times New Roman"/>
          <w:sz w:val="22"/>
          <w:szCs w:val="22"/>
        </w:rPr>
      </w:pPr>
    </w:p>
    <w:p w:rsidR="006E7583" w:rsidRPr="000474BB" w:rsidRDefault="006E7583" w:rsidP="000474BB">
      <w:pPr>
        <w:pStyle w:val="LGTdoc1"/>
        <w:spacing w:beforeLines="0" w:after="0" w:afterAutospacing="0"/>
      </w:pPr>
      <w:r w:rsidRPr="000474BB">
        <w:rPr>
          <w:sz w:val="24"/>
          <w:szCs w:val="22"/>
          <w:lang w:val="en-US"/>
        </w:rPr>
        <w:t>2.3 Other considerations</w:t>
      </w:r>
    </w:p>
    <w:p w:rsidR="006E7583" w:rsidRDefault="006E7583" w:rsidP="00B93CFB">
      <w:pPr>
        <w:spacing w:before="120" w:after="120"/>
        <w:ind w:firstLineChars="100" w:firstLine="220"/>
        <w:rPr>
          <w:rFonts w:ascii="Times New Roman"/>
          <w:sz w:val="22"/>
          <w:szCs w:val="22"/>
        </w:rPr>
      </w:pPr>
      <w:r w:rsidRPr="000474BB">
        <w:rPr>
          <w:rFonts w:ascii="Times New Roman"/>
          <w:sz w:val="22"/>
          <w:szCs w:val="22"/>
        </w:rPr>
        <w:t xml:space="preserve">For SRS carrier switching in NR, we need to further study especially on which aspects </w:t>
      </w:r>
      <w:r w:rsidR="005E6680">
        <w:rPr>
          <w:rFonts w:ascii="Times New Roman"/>
          <w:sz w:val="22"/>
          <w:szCs w:val="22"/>
        </w:rPr>
        <w:t xml:space="preserve">it </w:t>
      </w:r>
      <w:r w:rsidRPr="000474BB">
        <w:rPr>
          <w:rFonts w:ascii="Times New Roman"/>
          <w:sz w:val="22"/>
          <w:szCs w:val="22"/>
        </w:rPr>
        <w:t xml:space="preserve">could be different from the LTE system. If we define for this discussion CC1 as the CC that the SRS carrier switching starts from and the CC2 as the CC that the SRS carrier </w:t>
      </w:r>
      <w:r w:rsidR="005E6680">
        <w:rPr>
          <w:rFonts w:ascii="Times New Roman"/>
          <w:sz w:val="22"/>
          <w:szCs w:val="22"/>
        </w:rPr>
        <w:t>switches</w:t>
      </w:r>
      <w:r w:rsidRPr="000474BB">
        <w:rPr>
          <w:rFonts w:ascii="Times New Roman"/>
          <w:sz w:val="22"/>
          <w:szCs w:val="22"/>
        </w:rPr>
        <w:t xml:space="preserve"> to, for example, the selection of the SRS transmission resource (timing) on CC2 is related to the NR frame structure, PUCCH formats, slot type, </w:t>
      </w:r>
      <w:r w:rsidRPr="000474BB">
        <w:rPr>
          <w:rFonts w:ascii="Times New Roman"/>
          <w:sz w:val="22"/>
          <w:szCs w:val="22"/>
        </w:rPr>
        <w:lastRenderedPageBreak/>
        <w:t xml:space="preserve">mini-slot, etc., and the discussion on the collision handling would bring up many topics that have yet to be decided, e.g., the additional DMRS location of CC1 and how we deal with the switching time in NR, etc. We need more study and discussions on the topics listed in our proposal below. </w:t>
      </w:r>
    </w:p>
    <w:p w:rsidR="00910CB8" w:rsidRPr="000474BB" w:rsidRDefault="00910CB8" w:rsidP="00B93CFB">
      <w:pPr>
        <w:spacing w:before="120" w:after="120"/>
        <w:ind w:firstLineChars="100" w:firstLine="216"/>
        <w:rPr>
          <w:rFonts w:ascii="Times New Roman"/>
          <w:b/>
          <w:color w:val="FF0000"/>
          <w:sz w:val="22"/>
          <w:szCs w:val="22"/>
        </w:rPr>
      </w:pPr>
    </w:p>
    <w:p w:rsidR="006E7583" w:rsidRPr="000474BB" w:rsidRDefault="006E7583" w:rsidP="006E7583">
      <w:pPr>
        <w:spacing w:before="120" w:after="120"/>
        <w:rPr>
          <w:rFonts w:ascii="Times New Roman"/>
          <w:b/>
          <w:i/>
          <w:sz w:val="22"/>
          <w:szCs w:val="22"/>
        </w:rPr>
      </w:pPr>
      <w:r w:rsidRPr="000474BB">
        <w:rPr>
          <w:rFonts w:ascii="Times New Roman"/>
          <w:b/>
          <w:i/>
          <w:sz w:val="22"/>
          <w:szCs w:val="22"/>
        </w:rPr>
        <w:t xml:space="preserve">Proposal </w:t>
      </w:r>
      <w:r w:rsidR="005E6680">
        <w:rPr>
          <w:rFonts w:ascii="Times New Roman"/>
          <w:b/>
          <w:i/>
          <w:sz w:val="22"/>
          <w:szCs w:val="22"/>
        </w:rPr>
        <w:t>7</w:t>
      </w:r>
      <w:r w:rsidRPr="000474BB">
        <w:rPr>
          <w:rFonts w:ascii="Times New Roman"/>
          <w:b/>
          <w:i/>
          <w:sz w:val="22"/>
          <w:szCs w:val="22"/>
        </w:rPr>
        <w:t>: The following aspects need to be studied for supporting SRS carrier switching in NR:</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Resources for SRS transmission</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Collision handling</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Potential restrictions on CC combination</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Switching time (and reduction)</w:t>
      </w:r>
    </w:p>
    <w:p w:rsidR="006E7583" w:rsidRPr="000474BB" w:rsidRDefault="006E7583"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SRS switching among CCs different numerologies</w:t>
      </w:r>
    </w:p>
    <w:p w:rsidR="00B400B9" w:rsidRPr="00035DE3" w:rsidRDefault="00B400B9" w:rsidP="00C82527">
      <w:pPr>
        <w:pStyle w:val="LGTdoc1"/>
        <w:spacing w:after="120" w:afterAutospacing="0"/>
        <w:rPr>
          <w:i/>
          <w:sz w:val="22"/>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12296D" w:rsidRDefault="00387F8E" w:rsidP="0012296D">
      <w:pPr>
        <w:pStyle w:val="LGTdoc0"/>
        <w:spacing w:before="120" w:afterLines="0" w:after="0" w:line="240" w:lineRule="auto"/>
        <w:rPr>
          <w:szCs w:val="22"/>
          <w:lang w:val="en-US"/>
        </w:rPr>
      </w:pPr>
      <w:r>
        <w:rPr>
          <w:szCs w:val="22"/>
          <w:lang w:val="en-US"/>
        </w:rPr>
        <w:t>I</w:t>
      </w:r>
      <w:r>
        <w:rPr>
          <w:rFonts w:hint="eastAsia"/>
          <w:szCs w:val="22"/>
          <w:lang w:val="en-US"/>
        </w:rPr>
        <w:t xml:space="preserve">n this contribution, </w:t>
      </w:r>
      <w:r w:rsidR="002C6FC9">
        <w:rPr>
          <w:szCs w:val="22"/>
          <w:lang w:val="en-US"/>
        </w:rPr>
        <w:t>we discuss</w:t>
      </w:r>
      <w:r w:rsidR="0068534C">
        <w:rPr>
          <w:szCs w:val="22"/>
          <w:lang w:val="en-US"/>
        </w:rPr>
        <w:t>ed carrier aggregation aspects</w:t>
      </w:r>
      <w:r w:rsidR="002C6FC9">
        <w:rPr>
          <w:szCs w:val="22"/>
          <w:lang w:val="en-US"/>
        </w:rPr>
        <w:t>. Our proposals are as follows</w:t>
      </w:r>
      <w:r w:rsidR="00C820A8">
        <w:rPr>
          <w:szCs w:val="22"/>
          <w:lang w:val="en-US"/>
        </w:rPr>
        <w:t>;</w:t>
      </w:r>
    </w:p>
    <w:p w:rsidR="00E5101D" w:rsidRDefault="00E5101D" w:rsidP="0012296D">
      <w:pPr>
        <w:pStyle w:val="LGTdoc0"/>
        <w:spacing w:before="120" w:afterLines="0" w:after="0" w:line="240" w:lineRule="auto"/>
        <w:rPr>
          <w:szCs w:val="22"/>
          <w:lang w:val="en-US"/>
        </w:rPr>
      </w:pPr>
    </w:p>
    <w:p w:rsidR="002659F4" w:rsidRPr="000474BB" w:rsidRDefault="002659F4" w:rsidP="0037550D">
      <w:pPr>
        <w:pStyle w:val="LGTdoc1"/>
        <w:spacing w:beforeLines="0" w:after="0" w:afterAutospacing="0"/>
        <w:rPr>
          <w:i/>
          <w:sz w:val="22"/>
          <w:szCs w:val="22"/>
          <w:lang w:val="en-US"/>
        </w:rPr>
      </w:pPr>
      <w:r w:rsidRPr="000474BB">
        <w:rPr>
          <w:i/>
          <w:sz w:val="22"/>
          <w:szCs w:val="22"/>
          <w:lang w:val="en-US"/>
        </w:rPr>
        <w:t>Proposal 1: For HARQ-ACK feedback between CCs with different numerologies, the slot in the PUCCH cell corresponding to K1 = 0 is determined as follows:</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If the slot duration of the PUCCH cell is longer than the PDSCH cell,</w:t>
      </w:r>
    </w:p>
    <w:p w:rsidR="002659F4" w:rsidRPr="000474BB" w:rsidRDefault="002659F4" w:rsidP="003D2FA9">
      <w:pPr>
        <w:widowControl/>
        <w:numPr>
          <w:ilvl w:val="1"/>
          <w:numId w:val="9"/>
        </w:numPr>
        <w:wordWrap/>
        <w:autoSpaceDE/>
        <w:autoSpaceDN/>
        <w:spacing w:before="120" w:after="120"/>
        <w:contextualSpacing/>
        <w:rPr>
          <w:rFonts w:ascii="Times New Roman"/>
          <w:b/>
          <w:i/>
          <w:snapToGrid w:val="0"/>
          <w:kern w:val="0"/>
          <w:sz w:val="22"/>
          <w:szCs w:val="22"/>
        </w:rPr>
      </w:pPr>
      <w:r w:rsidRPr="000474BB">
        <w:rPr>
          <w:rFonts w:ascii="Times New Roman"/>
          <w:b/>
          <w:i/>
          <w:snapToGrid w:val="0"/>
          <w:kern w:val="0"/>
          <w:sz w:val="22"/>
          <w:szCs w:val="22"/>
        </w:rPr>
        <w:t>The slot overlapping with the PDSCH slot</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If the slot duration of the PUCCH cell is shorter than the PDSCH cell,</w:t>
      </w:r>
    </w:p>
    <w:p w:rsidR="00474896" w:rsidRDefault="002659F4" w:rsidP="003D2FA9">
      <w:pPr>
        <w:widowControl/>
        <w:numPr>
          <w:ilvl w:val="1"/>
          <w:numId w:val="9"/>
        </w:numPr>
        <w:wordWrap/>
        <w:autoSpaceDE/>
        <w:autoSpaceDN/>
        <w:spacing w:before="120" w:after="120"/>
        <w:contextualSpacing/>
        <w:rPr>
          <w:rFonts w:ascii="Times New Roman"/>
          <w:b/>
          <w:i/>
          <w:snapToGrid w:val="0"/>
          <w:kern w:val="0"/>
          <w:sz w:val="22"/>
          <w:szCs w:val="22"/>
        </w:rPr>
      </w:pPr>
      <w:r w:rsidRPr="000474BB">
        <w:rPr>
          <w:rFonts w:ascii="Times New Roman"/>
          <w:b/>
          <w:i/>
          <w:snapToGrid w:val="0"/>
          <w:kern w:val="0"/>
          <w:sz w:val="22"/>
          <w:szCs w:val="22"/>
        </w:rPr>
        <w:t>The first slot overlapping with the PDSCH slot</w:t>
      </w:r>
    </w:p>
    <w:p w:rsidR="00E5101D" w:rsidRPr="0037550D" w:rsidRDefault="00E5101D" w:rsidP="00E32A9C">
      <w:pPr>
        <w:widowControl/>
        <w:wordWrap/>
        <w:autoSpaceDE/>
        <w:autoSpaceDN/>
        <w:spacing w:before="120" w:after="120"/>
        <w:contextualSpacing/>
        <w:rPr>
          <w:rFonts w:ascii="Times New Roman"/>
          <w:b/>
          <w:i/>
          <w:snapToGrid w:val="0"/>
          <w:kern w:val="0"/>
          <w:sz w:val="22"/>
          <w:szCs w:val="22"/>
        </w:rPr>
      </w:pPr>
    </w:p>
    <w:p w:rsidR="00E5101D" w:rsidRDefault="002659F4" w:rsidP="0037550D">
      <w:pPr>
        <w:pStyle w:val="LGTdoc1"/>
        <w:spacing w:beforeLines="0" w:after="0" w:afterAutospacing="0"/>
        <w:rPr>
          <w:i/>
          <w:sz w:val="22"/>
          <w:szCs w:val="22"/>
          <w:lang w:val="en-US"/>
        </w:rPr>
      </w:pPr>
      <w:r w:rsidRPr="000474BB">
        <w:rPr>
          <w:i/>
          <w:sz w:val="22"/>
          <w:szCs w:val="22"/>
          <w:lang w:val="en-US"/>
        </w:rPr>
        <w:t xml:space="preserve">Proposal 2: Take into account the DL receive buffer size available at the UE, UE receive bandwidth capability and the CP overhead for determination of NR DL receive timing difference requirement.  </w:t>
      </w:r>
    </w:p>
    <w:p w:rsidR="00E5101D" w:rsidRPr="00B74435" w:rsidRDefault="00E5101D" w:rsidP="0037550D">
      <w:pPr>
        <w:pStyle w:val="LGTdoc1"/>
        <w:spacing w:beforeLines="0" w:after="0" w:afterAutospacing="0"/>
        <w:rPr>
          <w:i/>
          <w:sz w:val="22"/>
          <w:szCs w:val="22"/>
          <w:lang w:val="en-US"/>
        </w:rPr>
      </w:pPr>
    </w:p>
    <w:p w:rsidR="002659F4" w:rsidRPr="000474BB" w:rsidRDefault="002659F4" w:rsidP="0037550D">
      <w:pPr>
        <w:pStyle w:val="LGTdoc1"/>
        <w:spacing w:beforeLines="0" w:after="0" w:afterAutospacing="0"/>
        <w:rPr>
          <w:i/>
          <w:sz w:val="22"/>
          <w:szCs w:val="22"/>
          <w:lang w:val="en-US"/>
        </w:rPr>
      </w:pPr>
      <w:r w:rsidRPr="000474BB">
        <w:rPr>
          <w:i/>
          <w:sz w:val="22"/>
          <w:szCs w:val="22"/>
          <w:lang w:val="en-US"/>
        </w:rPr>
        <w:t xml:space="preserve">Proposal 3: Consider indication of the timings for DL/UL transmissions associated with the random access procedure in absolute time as well as in slots or symbols under NR carrier aggregation.  </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 xml:space="preserve">PDCCH order to Msg1 transmission timing </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RAR window timing</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 xml:space="preserve">RAR to Msg3 transmission timing </w:t>
      </w:r>
    </w:p>
    <w:p w:rsidR="002659F4"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SCell activation/deactivation related timing</w:t>
      </w:r>
    </w:p>
    <w:p w:rsidR="00E5101D" w:rsidRPr="000474BB" w:rsidRDefault="00E5101D" w:rsidP="00E32A9C">
      <w:pPr>
        <w:widowControl/>
        <w:wordWrap/>
        <w:autoSpaceDE/>
        <w:autoSpaceDN/>
        <w:spacing w:before="120" w:after="120"/>
        <w:contextualSpacing/>
        <w:rPr>
          <w:rFonts w:ascii="Times New Roman"/>
          <w:b/>
          <w:i/>
          <w:snapToGrid w:val="0"/>
          <w:kern w:val="0"/>
          <w:sz w:val="22"/>
          <w:szCs w:val="22"/>
        </w:rPr>
      </w:pPr>
    </w:p>
    <w:p w:rsidR="002659F4" w:rsidRPr="000474BB" w:rsidRDefault="002659F4" w:rsidP="0037550D">
      <w:pPr>
        <w:pStyle w:val="LGTdoc1"/>
        <w:spacing w:beforeLines="0" w:after="0" w:afterAutospacing="0"/>
        <w:rPr>
          <w:i/>
          <w:sz w:val="22"/>
          <w:szCs w:val="22"/>
          <w:lang w:val="en-US"/>
        </w:rPr>
      </w:pPr>
      <w:r w:rsidRPr="000474BB">
        <w:rPr>
          <w:i/>
          <w:sz w:val="22"/>
          <w:szCs w:val="22"/>
          <w:lang w:val="en-US"/>
        </w:rPr>
        <w:t>Proposal 4: Consider the following options below for the basic unit of TA command:</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Opt.1</w:t>
      </w:r>
      <w:r w:rsidRPr="000474BB">
        <w:rPr>
          <w:rFonts w:ascii="Times New Roman"/>
          <w:b/>
          <w:i/>
          <w:snapToGrid w:val="0"/>
          <w:kern w:val="0"/>
          <w:sz w:val="22"/>
          <w:szCs w:val="22"/>
        </w:rPr>
        <w:tab/>
        <w:t>Fixed time (in us) regardless of the subcarrier spacing in use</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Opt.2</w:t>
      </w:r>
      <w:r w:rsidRPr="000474BB">
        <w:rPr>
          <w:rFonts w:ascii="Times New Roman"/>
          <w:b/>
          <w:i/>
          <w:snapToGrid w:val="0"/>
          <w:kern w:val="0"/>
          <w:sz w:val="22"/>
          <w:szCs w:val="22"/>
        </w:rPr>
        <w:tab/>
        <w:t>Scaled time (in us) according to the subcarrier spacing in use</w:t>
      </w:r>
    </w:p>
    <w:p w:rsidR="002659F4" w:rsidRDefault="002659F4" w:rsidP="003D2FA9">
      <w:pPr>
        <w:widowControl/>
        <w:numPr>
          <w:ilvl w:val="0"/>
          <w:numId w:val="9"/>
        </w:numPr>
        <w:wordWrap/>
        <w:autoSpaceDE/>
        <w:autoSpaceDN/>
        <w:spacing w:before="120" w:after="120"/>
        <w:ind w:left="1004" w:hanging="403"/>
        <w:contextualSpacing/>
        <w:rPr>
          <w:rFonts w:ascii="Times New Roman"/>
          <w:b/>
          <w:i/>
          <w:snapToGrid w:val="0"/>
          <w:kern w:val="0"/>
          <w:sz w:val="22"/>
          <w:szCs w:val="22"/>
        </w:rPr>
      </w:pPr>
      <w:r w:rsidRPr="000474BB">
        <w:rPr>
          <w:rFonts w:ascii="Times New Roman"/>
          <w:b/>
          <w:i/>
          <w:snapToGrid w:val="0"/>
          <w:kern w:val="0"/>
          <w:sz w:val="22"/>
          <w:szCs w:val="22"/>
        </w:rPr>
        <w:t>Opt.3</w:t>
      </w:r>
      <w:r w:rsidRPr="000474BB">
        <w:rPr>
          <w:rFonts w:ascii="Times New Roman"/>
          <w:b/>
          <w:i/>
          <w:snapToGrid w:val="0"/>
          <w:kern w:val="0"/>
          <w:sz w:val="22"/>
          <w:szCs w:val="22"/>
        </w:rPr>
        <w:tab/>
        <w:t xml:space="preserve">Configurable, e.g., by SIB or by any other signalling mechanism </w:t>
      </w:r>
    </w:p>
    <w:p w:rsidR="00E5101D" w:rsidRPr="0037550D" w:rsidRDefault="00E5101D" w:rsidP="00E32A9C">
      <w:pPr>
        <w:widowControl/>
        <w:wordWrap/>
        <w:autoSpaceDE/>
        <w:autoSpaceDN/>
        <w:spacing w:before="120" w:after="120"/>
        <w:contextualSpacing/>
        <w:rPr>
          <w:rFonts w:ascii="Times New Roman"/>
          <w:b/>
          <w:i/>
          <w:snapToGrid w:val="0"/>
          <w:kern w:val="0"/>
          <w:sz w:val="22"/>
          <w:szCs w:val="22"/>
        </w:rPr>
      </w:pPr>
    </w:p>
    <w:p w:rsidR="00E5101D" w:rsidRDefault="00E5101D" w:rsidP="00E5101D">
      <w:pPr>
        <w:spacing w:before="160" w:after="160"/>
        <w:rPr>
          <w:rFonts w:ascii="Times New Roman"/>
          <w:b/>
          <w:i/>
          <w:sz w:val="22"/>
          <w:szCs w:val="22"/>
        </w:rPr>
      </w:pPr>
      <w:r w:rsidRPr="000474BB">
        <w:rPr>
          <w:rFonts w:ascii="Times New Roman"/>
          <w:b/>
          <w:i/>
          <w:sz w:val="22"/>
          <w:szCs w:val="22"/>
        </w:rPr>
        <w:t xml:space="preserve">Proposal 5: </w:t>
      </w:r>
      <w:r>
        <w:rPr>
          <w:rFonts w:ascii="Times New Roman"/>
          <w:b/>
          <w:i/>
          <w:sz w:val="22"/>
          <w:szCs w:val="22"/>
        </w:rPr>
        <w:t>At least one of the following options is supported for maximum TA in NR CA with the single numerology:</w:t>
      </w:r>
    </w:p>
    <w:p w:rsidR="00E5101D" w:rsidRDefault="00E5101D"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Opt.1</w:t>
      </w:r>
      <w:r w:rsidRPr="000474BB">
        <w:rPr>
          <w:rFonts w:ascii="Times New Roman"/>
          <w:b/>
          <w:i/>
          <w:sz w:val="22"/>
          <w:szCs w:val="22"/>
        </w:rPr>
        <w:tab/>
      </w:r>
      <w:r>
        <w:rPr>
          <w:rFonts w:ascii="Times New Roman"/>
          <w:b/>
          <w:i/>
          <w:sz w:val="22"/>
          <w:szCs w:val="22"/>
        </w:rPr>
        <w:t>Scale down the maximum TA in inverse proportion to the subcarrier spacing</w:t>
      </w:r>
    </w:p>
    <w:p w:rsidR="00E5101D" w:rsidRDefault="00E5101D" w:rsidP="003D2FA9">
      <w:pPr>
        <w:widowControl/>
        <w:numPr>
          <w:ilvl w:val="0"/>
          <w:numId w:val="9"/>
        </w:numPr>
        <w:wordWrap/>
        <w:autoSpaceDE/>
        <w:autoSpaceDN/>
        <w:spacing w:before="120" w:after="120"/>
        <w:ind w:left="1004" w:hanging="403"/>
        <w:contextualSpacing/>
        <w:rPr>
          <w:rFonts w:ascii="Times New Roman"/>
          <w:b/>
          <w:i/>
          <w:sz w:val="22"/>
          <w:szCs w:val="22"/>
        </w:rPr>
      </w:pPr>
      <w:r>
        <w:rPr>
          <w:rFonts w:ascii="Times New Roman"/>
          <w:b/>
          <w:i/>
          <w:sz w:val="22"/>
          <w:szCs w:val="22"/>
        </w:rPr>
        <w:t>Opt.2</w:t>
      </w:r>
      <w:r>
        <w:rPr>
          <w:rFonts w:ascii="Times New Roman"/>
          <w:b/>
          <w:i/>
          <w:sz w:val="22"/>
          <w:szCs w:val="22"/>
        </w:rPr>
        <w:tab/>
        <w:t xml:space="preserve">Fix the maximum TA regardless of the subcarrier spacing </w:t>
      </w:r>
    </w:p>
    <w:p w:rsidR="00AC5A39" w:rsidRPr="00AC5A39" w:rsidRDefault="00AC5A39" w:rsidP="003D2FA9">
      <w:pPr>
        <w:widowControl/>
        <w:numPr>
          <w:ilvl w:val="0"/>
          <w:numId w:val="9"/>
        </w:numPr>
        <w:wordWrap/>
        <w:autoSpaceDE/>
        <w:autoSpaceDN/>
        <w:spacing w:before="120" w:after="120"/>
        <w:ind w:left="1004" w:hanging="403"/>
        <w:contextualSpacing/>
        <w:rPr>
          <w:rFonts w:ascii="Times New Roman"/>
          <w:b/>
          <w:i/>
          <w:sz w:val="22"/>
          <w:szCs w:val="22"/>
        </w:rPr>
      </w:pPr>
      <w:r w:rsidRPr="00AC5A39">
        <w:rPr>
          <w:rFonts w:ascii="Times New Roman"/>
          <w:b/>
          <w:i/>
          <w:sz w:val="22"/>
          <w:szCs w:val="22"/>
        </w:rPr>
        <w:t>Opt.3</w:t>
      </w:r>
      <w:r w:rsidRPr="00AC5A39">
        <w:rPr>
          <w:rFonts w:ascii="Times New Roman"/>
          <w:b/>
          <w:i/>
          <w:sz w:val="22"/>
          <w:szCs w:val="22"/>
        </w:rPr>
        <w:tab/>
        <w:t xml:space="preserve">Configurable, e.g., by SIB or by any other signalling mechanism </w:t>
      </w:r>
    </w:p>
    <w:p w:rsidR="00E5101D" w:rsidRPr="000474BB" w:rsidRDefault="00E5101D" w:rsidP="00E5101D">
      <w:pPr>
        <w:widowControl/>
        <w:wordWrap/>
        <w:autoSpaceDE/>
        <w:autoSpaceDN/>
        <w:spacing w:before="120" w:after="120"/>
        <w:contextualSpacing/>
        <w:rPr>
          <w:rFonts w:ascii="Times New Roman"/>
          <w:b/>
          <w:i/>
          <w:sz w:val="22"/>
          <w:szCs w:val="22"/>
        </w:rPr>
      </w:pPr>
    </w:p>
    <w:p w:rsidR="00E5101D" w:rsidRDefault="00E5101D" w:rsidP="00E5101D">
      <w:pPr>
        <w:spacing w:before="160" w:after="160"/>
        <w:rPr>
          <w:rFonts w:ascii="Times New Roman"/>
          <w:b/>
          <w:i/>
          <w:sz w:val="22"/>
          <w:szCs w:val="22"/>
        </w:rPr>
      </w:pPr>
      <w:r w:rsidRPr="000474BB">
        <w:rPr>
          <w:rFonts w:ascii="Times New Roman"/>
          <w:b/>
          <w:i/>
          <w:sz w:val="22"/>
          <w:szCs w:val="22"/>
        </w:rPr>
        <w:t xml:space="preserve">Proposal </w:t>
      </w:r>
      <w:r>
        <w:rPr>
          <w:rFonts w:ascii="Times New Roman"/>
          <w:b/>
          <w:i/>
          <w:sz w:val="22"/>
          <w:szCs w:val="22"/>
        </w:rPr>
        <w:t>6</w:t>
      </w:r>
      <w:r w:rsidRPr="000474BB">
        <w:rPr>
          <w:rFonts w:ascii="Times New Roman"/>
          <w:b/>
          <w:i/>
          <w:sz w:val="22"/>
          <w:szCs w:val="22"/>
        </w:rPr>
        <w:t xml:space="preserve">: </w:t>
      </w:r>
      <w:r>
        <w:rPr>
          <w:rFonts w:ascii="Times New Roman"/>
          <w:b/>
          <w:i/>
          <w:sz w:val="22"/>
          <w:szCs w:val="22"/>
        </w:rPr>
        <w:t>M</w:t>
      </w:r>
      <w:r w:rsidRPr="000474BB">
        <w:rPr>
          <w:rFonts w:ascii="Times New Roman"/>
          <w:b/>
          <w:i/>
          <w:sz w:val="22"/>
          <w:szCs w:val="22"/>
        </w:rPr>
        <w:t>aximum UL timing difference</w:t>
      </w:r>
      <w:r>
        <w:rPr>
          <w:rFonts w:ascii="Times New Roman"/>
          <w:b/>
          <w:i/>
          <w:sz w:val="22"/>
          <w:szCs w:val="22"/>
        </w:rPr>
        <w:t xml:space="preserve"> requirement</w:t>
      </w:r>
      <w:r w:rsidRPr="000474BB">
        <w:rPr>
          <w:rFonts w:ascii="Times New Roman"/>
          <w:b/>
          <w:i/>
          <w:sz w:val="22"/>
          <w:szCs w:val="22"/>
        </w:rPr>
        <w:t xml:space="preserve"> between NR CCs with different subcarrier spacing</w:t>
      </w:r>
      <w:r>
        <w:rPr>
          <w:rFonts w:ascii="Times New Roman"/>
          <w:b/>
          <w:i/>
          <w:sz w:val="22"/>
          <w:szCs w:val="22"/>
        </w:rPr>
        <w:t xml:space="preserve"> is determined by the maximum subcarrier spacing within the multiple TAGs.</w:t>
      </w:r>
    </w:p>
    <w:p w:rsidR="00E5101D" w:rsidRDefault="00E5101D" w:rsidP="003D2FA9">
      <w:pPr>
        <w:widowControl/>
        <w:numPr>
          <w:ilvl w:val="0"/>
          <w:numId w:val="9"/>
        </w:numPr>
        <w:wordWrap/>
        <w:autoSpaceDE/>
        <w:autoSpaceDN/>
        <w:spacing w:before="160" w:after="160"/>
        <w:contextualSpacing/>
        <w:rPr>
          <w:rFonts w:ascii="Times New Roman"/>
          <w:b/>
          <w:i/>
          <w:sz w:val="22"/>
          <w:szCs w:val="22"/>
        </w:rPr>
      </w:pPr>
      <w:r w:rsidRPr="0012070D">
        <w:rPr>
          <w:rFonts w:ascii="Times New Roman"/>
          <w:b/>
          <w:i/>
          <w:sz w:val="22"/>
          <w:szCs w:val="22"/>
        </w:rPr>
        <w:t>FFS maximum UL timing difference requirement is fixed reg</w:t>
      </w:r>
      <w:r>
        <w:rPr>
          <w:rFonts w:ascii="Times New Roman"/>
          <w:b/>
          <w:i/>
          <w:sz w:val="22"/>
          <w:szCs w:val="22"/>
        </w:rPr>
        <w:t>ardless of subcarrier spacings within the TAGs.</w:t>
      </w:r>
    </w:p>
    <w:p w:rsidR="00E5101D" w:rsidRPr="0012070D" w:rsidRDefault="00E5101D" w:rsidP="001C645C">
      <w:pPr>
        <w:widowControl/>
        <w:wordWrap/>
        <w:autoSpaceDE/>
        <w:autoSpaceDN/>
        <w:spacing w:before="160" w:after="160"/>
        <w:contextualSpacing/>
        <w:rPr>
          <w:rFonts w:ascii="Times New Roman"/>
          <w:b/>
          <w:i/>
          <w:sz w:val="22"/>
          <w:szCs w:val="22"/>
        </w:rPr>
      </w:pPr>
    </w:p>
    <w:p w:rsidR="002659F4" w:rsidRPr="000474BB" w:rsidRDefault="002659F4" w:rsidP="0037550D">
      <w:pPr>
        <w:pStyle w:val="LGTdoc1"/>
        <w:spacing w:beforeLines="0" w:after="0" w:afterAutospacing="0"/>
        <w:rPr>
          <w:i/>
          <w:sz w:val="22"/>
          <w:szCs w:val="22"/>
          <w:lang w:val="en-US"/>
        </w:rPr>
      </w:pPr>
      <w:r w:rsidRPr="000474BB">
        <w:rPr>
          <w:i/>
          <w:sz w:val="22"/>
          <w:szCs w:val="22"/>
          <w:lang w:val="en-US"/>
        </w:rPr>
        <w:lastRenderedPageBreak/>
        <w:t xml:space="preserve">Proposal </w:t>
      </w:r>
      <w:r w:rsidR="00E5101D">
        <w:rPr>
          <w:i/>
          <w:sz w:val="22"/>
          <w:szCs w:val="22"/>
          <w:lang w:val="en-US"/>
        </w:rPr>
        <w:t>7</w:t>
      </w:r>
      <w:r w:rsidRPr="000474BB">
        <w:rPr>
          <w:i/>
          <w:sz w:val="22"/>
          <w:szCs w:val="22"/>
          <w:lang w:val="en-US"/>
        </w:rPr>
        <w:t>: The following aspects need to be studied for supporting SRS carrier switching in NR:</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Resources for SRS transmission</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Collision handling</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Potential restrictions on CC combination</w:t>
      </w:r>
    </w:p>
    <w:p w:rsidR="002659F4" w:rsidRPr="000474BB" w:rsidRDefault="002659F4"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Switching time (and reduction)</w:t>
      </w:r>
    </w:p>
    <w:p w:rsidR="002659F4" w:rsidRDefault="002659F4" w:rsidP="003D2FA9">
      <w:pPr>
        <w:widowControl/>
        <w:numPr>
          <w:ilvl w:val="0"/>
          <w:numId w:val="9"/>
        </w:numPr>
        <w:wordWrap/>
        <w:autoSpaceDE/>
        <w:autoSpaceDN/>
        <w:spacing w:before="120" w:after="120"/>
        <w:ind w:left="1004" w:hanging="403"/>
        <w:contextualSpacing/>
        <w:rPr>
          <w:rFonts w:ascii="Times New Roman"/>
          <w:b/>
          <w:i/>
          <w:sz w:val="22"/>
          <w:szCs w:val="22"/>
        </w:rPr>
      </w:pPr>
      <w:r w:rsidRPr="000474BB">
        <w:rPr>
          <w:rFonts w:ascii="Times New Roman"/>
          <w:b/>
          <w:i/>
          <w:sz w:val="22"/>
          <w:szCs w:val="22"/>
        </w:rPr>
        <w:t>SRS switching among CCs different numerologies</w:t>
      </w:r>
    </w:p>
    <w:p w:rsidR="00386EC8" w:rsidRDefault="00386EC8" w:rsidP="001C645C">
      <w:pPr>
        <w:widowControl/>
        <w:wordWrap/>
        <w:autoSpaceDE/>
        <w:autoSpaceDN/>
        <w:spacing w:before="120" w:after="120"/>
        <w:contextualSpacing/>
        <w:rPr>
          <w:rFonts w:ascii="Times New Roman"/>
          <w:i/>
          <w:snapToGrid w:val="0"/>
          <w:kern w:val="0"/>
          <w:sz w:val="22"/>
          <w:szCs w:val="22"/>
          <w:lang w:val="en-GB"/>
        </w:rPr>
      </w:pPr>
    </w:p>
    <w:p w:rsidR="00C6304A" w:rsidRDefault="00C6304A" w:rsidP="00C6304A">
      <w:pPr>
        <w:pStyle w:val="LGTdoc1"/>
        <w:numPr>
          <w:ilvl w:val="0"/>
          <w:numId w:val="3"/>
        </w:numPr>
        <w:spacing w:beforeLines="0" w:after="0" w:afterAutospacing="0"/>
        <w:rPr>
          <w:lang w:val="en-US"/>
        </w:rPr>
      </w:pPr>
      <w:r>
        <w:rPr>
          <w:lang w:val="en-US"/>
        </w:rPr>
        <w:t>Reference</w:t>
      </w:r>
    </w:p>
    <w:p w:rsidR="0068534C" w:rsidRPr="0068534C" w:rsidRDefault="0068534C" w:rsidP="003D2FA9">
      <w:pPr>
        <w:pStyle w:val="References"/>
        <w:numPr>
          <w:ilvl w:val="0"/>
          <w:numId w:val="13"/>
        </w:numPr>
        <w:rPr>
          <w:rFonts w:eastAsia="맑은 고딕"/>
          <w:szCs w:val="22"/>
          <w:lang w:val="en-GB" w:eastAsia="ko-KR"/>
        </w:rPr>
      </w:pPr>
      <w:r w:rsidRPr="007C6C7C">
        <w:rPr>
          <w:szCs w:val="22"/>
          <w:lang w:eastAsia="ko-KR"/>
        </w:rPr>
        <w:t>RAN1 chairman’s notes, RAN1</w:t>
      </w:r>
      <w:r w:rsidRPr="0068534C">
        <w:rPr>
          <w:rFonts w:eastAsia="맑은 고딕" w:hint="eastAsia"/>
          <w:szCs w:val="22"/>
          <w:lang w:eastAsia="ko-KR"/>
        </w:rPr>
        <w:t>#8</w:t>
      </w:r>
      <w:r>
        <w:rPr>
          <w:rFonts w:eastAsia="맑은 고딕"/>
          <w:szCs w:val="22"/>
          <w:lang w:eastAsia="ko-KR"/>
        </w:rPr>
        <w:t>8bis</w:t>
      </w:r>
    </w:p>
    <w:p w:rsidR="0068534C" w:rsidRPr="0068534C" w:rsidRDefault="0068534C" w:rsidP="003D2FA9">
      <w:pPr>
        <w:pStyle w:val="References"/>
        <w:numPr>
          <w:ilvl w:val="0"/>
          <w:numId w:val="13"/>
        </w:numPr>
        <w:rPr>
          <w:rFonts w:eastAsia="맑은 고딕"/>
          <w:szCs w:val="22"/>
          <w:lang w:val="en-GB" w:eastAsia="ko-KR"/>
        </w:rPr>
      </w:pPr>
      <w:r w:rsidRPr="007C6C7C">
        <w:rPr>
          <w:szCs w:val="22"/>
          <w:lang w:eastAsia="ko-KR"/>
        </w:rPr>
        <w:t>RAN1 chairman’s notes, RAN1</w:t>
      </w:r>
      <w:r w:rsidRPr="0068534C">
        <w:rPr>
          <w:rFonts w:eastAsia="맑은 고딕" w:hint="eastAsia"/>
          <w:szCs w:val="22"/>
          <w:lang w:eastAsia="ko-KR"/>
        </w:rPr>
        <w:t>#8</w:t>
      </w:r>
      <w:r>
        <w:rPr>
          <w:rFonts w:eastAsia="맑은 고딕"/>
          <w:szCs w:val="22"/>
          <w:lang w:eastAsia="ko-KR"/>
        </w:rPr>
        <w:t>9</w:t>
      </w:r>
    </w:p>
    <w:p w:rsidR="00A07BE1" w:rsidRPr="0068534C" w:rsidRDefault="0068534C" w:rsidP="003D2FA9">
      <w:pPr>
        <w:pStyle w:val="References"/>
        <w:numPr>
          <w:ilvl w:val="0"/>
          <w:numId w:val="13"/>
        </w:numPr>
        <w:rPr>
          <w:rFonts w:eastAsia="맑은 고딕"/>
          <w:szCs w:val="22"/>
          <w:lang w:val="en-GB" w:eastAsia="ko-KR"/>
        </w:rPr>
      </w:pPr>
      <w:r w:rsidRPr="007C6C7C">
        <w:rPr>
          <w:szCs w:val="22"/>
          <w:lang w:eastAsia="ko-KR"/>
        </w:rPr>
        <w:t>RAN1 chairman’s notes, RAN1</w:t>
      </w:r>
      <w:r>
        <w:rPr>
          <w:rFonts w:eastAsia="맑은 고딕" w:hint="eastAsia"/>
          <w:szCs w:val="22"/>
          <w:lang w:eastAsia="ko-KR"/>
        </w:rPr>
        <w:t>#90</w:t>
      </w:r>
    </w:p>
    <w:p w:rsidR="00677925" w:rsidRPr="00B74435" w:rsidRDefault="00BF06E8" w:rsidP="003D2FA9">
      <w:pPr>
        <w:pStyle w:val="References"/>
        <w:numPr>
          <w:ilvl w:val="0"/>
          <w:numId w:val="13"/>
        </w:numPr>
        <w:rPr>
          <w:rFonts w:eastAsia="맑은 고딕"/>
          <w:szCs w:val="22"/>
          <w:lang w:val="en-GB" w:eastAsia="ko-KR"/>
        </w:rPr>
      </w:pPr>
      <w:r>
        <w:rPr>
          <w:rFonts w:eastAsia="맑은 고딕"/>
          <w:szCs w:val="22"/>
          <w:lang w:val="en-GB" w:eastAsia="ko-KR"/>
        </w:rPr>
        <w:t>RAN1 chairman’s notes, RAN1#90-bis</w:t>
      </w:r>
    </w:p>
    <w:sectPr w:rsidR="00677925" w:rsidRPr="00B74435" w:rsidSect="004274B1">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FA9" w:rsidRDefault="003D2FA9">
      <w:r>
        <w:separator/>
      </w:r>
    </w:p>
  </w:endnote>
  <w:endnote w:type="continuationSeparator" w:id="0">
    <w:p w:rsidR="003D2FA9" w:rsidRDefault="003D2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FCA" w:rsidRDefault="002D2FC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2D2FCA" w:rsidRDefault="002D2FC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2FCA" w:rsidRDefault="002D2FCA">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E6F00">
      <w:rPr>
        <w:rStyle w:val="a9"/>
        <w:noProof/>
      </w:rPr>
      <w:t>2</w:t>
    </w:r>
    <w:r>
      <w:rPr>
        <w:rStyle w:val="a9"/>
      </w:rPr>
      <w:fldChar w:fldCharType="end"/>
    </w:r>
  </w:p>
  <w:p w:rsidR="002D2FCA" w:rsidRDefault="002D2FC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FA9" w:rsidRDefault="003D2FA9">
      <w:r>
        <w:separator/>
      </w:r>
    </w:p>
  </w:footnote>
  <w:footnote w:type="continuationSeparator" w:id="0">
    <w:p w:rsidR="003D2FA9" w:rsidRDefault="003D2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8295E"/>
    <w:multiLevelType w:val="hybridMultilevel"/>
    <w:tmpl w:val="2EC0EAE2"/>
    <w:lvl w:ilvl="0" w:tplc="5E16D9D4">
      <w:start w:val="1"/>
      <w:numFmt w:val="bullet"/>
      <w:lvlText w:val="•"/>
      <w:lvlJc w:val="left"/>
      <w:pPr>
        <w:tabs>
          <w:tab w:val="num" w:pos="360"/>
        </w:tabs>
        <w:ind w:left="360" w:hanging="360"/>
      </w:pPr>
      <w:rPr>
        <w:rFonts w:ascii="Arial" w:hAnsi="Arial" w:cs="Times New Roman" w:hint="default"/>
      </w:rPr>
    </w:lvl>
    <w:lvl w:ilvl="1" w:tplc="C01684CC">
      <w:start w:val="3109"/>
      <w:numFmt w:val="bullet"/>
      <w:lvlText w:val="–"/>
      <w:lvlJc w:val="left"/>
      <w:pPr>
        <w:tabs>
          <w:tab w:val="num" w:pos="785"/>
        </w:tabs>
        <w:ind w:left="785" w:hanging="360"/>
      </w:pPr>
      <w:rPr>
        <w:rFonts w:ascii="Arial" w:hAnsi="Arial" w:cs="Times New Roman" w:hint="default"/>
      </w:rPr>
    </w:lvl>
    <w:lvl w:ilvl="2" w:tplc="6E2880A6">
      <w:start w:val="3005"/>
      <w:numFmt w:val="bullet"/>
      <w:lvlText w:val="•"/>
      <w:lvlJc w:val="left"/>
      <w:pPr>
        <w:tabs>
          <w:tab w:val="num" w:pos="1210"/>
        </w:tabs>
        <w:ind w:left="1210" w:hanging="360"/>
      </w:pPr>
      <w:rPr>
        <w:rFonts w:ascii="Arial" w:hAnsi="Arial" w:cs="Times New Roman" w:hint="default"/>
      </w:rPr>
    </w:lvl>
    <w:lvl w:ilvl="3" w:tplc="FF1C6EEE">
      <w:start w:val="1"/>
      <w:numFmt w:val="bullet"/>
      <w:lvlText w:val="•"/>
      <w:lvlJc w:val="left"/>
      <w:pPr>
        <w:tabs>
          <w:tab w:val="num" w:pos="1636"/>
        </w:tabs>
        <w:ind w:left="1636" w:hanging="360"/>
      </w:pPr>
      <w:rPr>
        <w:rFonts w:ascii="Arial" w:hAnsi="Arial" w:cs="Times New Roman" w:hint="default"/>
      </w:rPr>
    </w:lvl>
    <w:lvl w:ilvl="4" w:tplc="F99A0DF6">
      <w:start w:val="1"/>
      <w:numFmt w:val="bullet"/>
      <w:lvlText w:val="•"/>
      <w:lvlJc w:val="left"/>
      <w:pPr>
        <w:tabs>
          <w:tab w:val="num" w:pos="3240"/>
        </w:tabs>
        <w:ind w:left="3240" w:hanging="360"/>
      </w:pPr>
      <w:rPr>
        <w:rFonts w:ascii="Arial" w:hAnsi="Arial" w:cs="Times New Roman" w:hint="default"/>
      </w:rPr>
    </w:lvl>
    <w:lvl w:ilvl="5" w:tplc="DF8A3642">
      <w:start w:val="1"/>
      <w:numFmt w:val="bullet"/>
      <w:lvlText w:val="•"/>
      <w:lvlJc w:val="left"/>
      <w:pPr>
        <w:tabs>
          <w:tab w:val="num" w:pos="3960"/>
        </w:tabs>
        <w:ind w:left="3960" w:hanging="360"/>
      </w:pPr>
      <w:rPr>
        <w:rFonts w:ascii="Arial" w:hAnsi="Arial" w:cs="Times New Roman" w:hint="default"/>
      </w:rPr>
    </w:lvl>
    <w:lvl w:ilvl="6" w:tplc="FF76F662">
      <w:start w:val="1"/>
      <w:numFmt w:val="bullet"/>
      <w:lvlText w:val="•"/>
      <w:lvlJc w:val="left"/>
      <w:pPr>
        <w:tabs>
          <w:tab w:val="num" w:pos="4680"/>
        </w:tabs>
        <w:ind w:left="4680" w:hanging="360"/>
      </w:pPr>
      <w:rPr>
        <w:rFonts w:ascii="Arial" w:hAnsi="Arial" w:cs="Times New Roman" w:hint="default"/>
      </w:rPr>
    </w:lvl>
    <w:lvl w:ilvl="7" w:tplc="C6DEA5C4">
      <w:start w:val="1"/>
      <w:numFmt w:val="bullet"/>
      <w:lvlText w:val="•"/>
      <w:lvlJc w:val="left"/>
      <w:pPr>
        <w:tabs>
          <w:tab w:val="num" w:pos="5400"/>
        </w:tabs>
        <w:ind w:left="5400" w:hanging="360"/>
      </w:pPr>
      <w:rPr>
        <w:rFonts w:ascii="Arial" w:hAnsi="Arial" w:cs="Times New Roman" w:hint="default"/>
      </w:rPr>
    </w:lvl>
    <w:lvl w:ilvl="8" w:tplc="E696BEF8">
      <w:start w:val="1"/>
      <w:numFmt w:val="bullet"/>
      <w:lvlText w:val="•"/>
      <w:lvlJc w:val="left"/>
      <w:pPr>
        <w:tabs>
          <w:tab w:val="num" w:pos="6120"/>
        </w:tabs>
        <w:ind w:left="6120" w:hanging="360"/>
      </w:pPr>
      <w:rPr>
        <w:rFonts w:ascii="Arial" w:hAnsi="Arial" w:cs="Times New Roman" w:hint="default"/>
      </w:rPr>
    </w:lvl>
  </w:abstractNum>
  <w:abstractNum w:abstractNumId="1">
    <w:nsid w:val="0ECB3B81"/>
    <w:multiLevelType w:val="hybridMultilevel"/>
    <w:tmpl w:val="897E4F6A"/>
    <w:lvl w:ilvl="0" w:tplc="5E16D9D4">
      <w:start w:val="1"/>
      <w:numFmt w:val="bullet"/>
      <w:lvlText w:val="•"/>
      <w:lvlJc w:val="left"/>
      <w:pPr>
        <w:ind w:left="1000" w:hanging="400"/>
      </w:pPr>
      <w:rPr>
        <w:rFonts w:ascii="Arial" w:hAnsi="Arial" w:cs="Times New Roman" w:hint="default"/>
      </w:rPr>
    </w:lvl>
    <w:lvl w:ilvl="1" w:tplc="327E95C2">
      <w:start w:val="8"/>
      <w:numFmt w:val="bullet"/>
      <w:lvlText w:val="-"/>
      <w:lvlJc w:val="left"/>
      <w:pPr>
        <w:ind w:left="1400" w:hanging="400"/>
      </w:pPr>
      <w:rPr>
        <w:rFonts w:ascii="Times New Roman" w:eastAsia="Times New Roman" w:hAnsi="Times New Roman" w:cs="Times New Roman" w:hint="default"/>
      </w:rPr>
    </w:lvl>
    <w:lvl w:ilvl="2" w:tplc="04090005">
      <w:start w:val="1"/>
      <w:numFmt w:val="bullet"/>
      <w:lvlText w:val=""/>
      <w:lvlJc w:val="left"/>
      <w:pPr>
        <w:ind w:left="1800" w:hanging="400"/>
      </w:pPr>
      <w:rPr>
        <w:rFonts w:ascii="Wingdings" w:hAnsi="Wingdings" w:hint="default"/>
      </w:rPr>
    </w:lvl>
    <w:lvl w:ilvl="3" w:tplc="04090001">
      <w:start w:val="1"/>
      <w:numFmt w:val="bullet"/>
      <w:lvlText w:val=""/>
      <w:lvlJc w:val="left"/>
      <w:pPr>
        <w:ind w:left="2200" w:hanging="400"/>
      </w:pPr>
      <w:rPr>
        <w:rFonts w:ascii="Wingdings" w:hAnsi="Wingdings" w:hint="default"/>
      </w:rPr>
    </w:lvl>
    <w:lvl w:ilvl="4" w:tplc="04090003">
      <w:start w:val="1"/>
      <w:numFmt w:val="bullet"/>
      <w:lvlText w:val=""/>
      <w:lvlJc w:val="left"/>
      <w:pPr>
        <w:ind w:left="2600" w:hanging="400"/>
      </w:pPr>
      <w:rPr>
        <w:rFonts w:ascii="Wingdings" w:hAnsi="Wingdings" w:hint="default"/>
      </w:rPr>
    </w:lvl>
    <w:lvl w:ilvl="5" w:tplc="04090005">
      <w:start w:val="1"/>
      <w:numFmt w:val="bullet"/>
      <w:lvlText w:val=""/>
      <w:lvlJc w:val="left"/>
      <w:pPr>
        <w:ind w:left="3000" w:hanging="400"/>
      </w:pPr>
      <w:rPr>
        <w:rFonts w:ascii="Wingdings" w:hAnsi="Wingdings" w:hint="default"/>
      </w:rPr>
    </w:lvl>
    <w:lvl w:ilvl="6" w:tplc="04090001">
      <w:start w:val="1"/>
      <w:numFmt w:val="bullet"/>
      <w:lvlText w:val=""/>
      <w:lvlJc w:val="left"/>
      <w:pPr>
        <w:ind w:left="3400" w:hanging="400"/>
      </w:pPr>
      <w:rPr>
        <w:rFonts w:ascii="Wingdings" w:hAnsi="Wingdings" w:hint="default"/>
      </w:rPr>
    </w:lvl>
    <w:lvl w:ilvl="7" w:tplc="04090003">
      <w:start w:val="1"/>
      <w:numFmt w:val="bullet"/>
      <w:lvlText w:val=""/>
      <w:lvlJc w:val="left"/>
      <w:pPr>
        <w:ind w:left="3800" w:hanging="400"/>
      </w:pPr>
      <w:rPr>
        <w:rFonts w:ascii="Wingdings" w:hAnsi="Wingdings" w:hint="default"/>
      </w:rPr>
    </w:lvl>
    <w:lvl w:ilvl="8" w:tplc="04090005">
      <w:start w:val="1"/>
      <w:numFmt w:val="bullet"/>
      <w:lvlText w:val=""/>
      <w:lvlJc w:val="left"/>
      <w:pPr>
        <w:ind w:left="4200" w:hanging="400"/>
      </w:pPr>
      <w:rPr>
        <w:rFonts w:ascii="Wingdings" w:hAnsi="Wingdings" w:hint="default"/>
      </w:rPr>
    </w:lvl>
  </w:abstractNum>
  <w:abstractNum w:abstractNumId="2">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3ED53EE5"/>
    <w:multiLevelType w:val="hybridMultilevel"/>
    <w:tmpl w:val="C18CC33C"/>
    <w:lvl w:ilvl="0" w:tplc="C8945D60">
      <w:start w:val="2"/>
      <w:numFmt w:val="bullet"/>
      <w:lvlText w:val="-"/>
      <w:lvlJc w:val="left"/>
      <w:pPr>
        <w:ind w:left="1560" w:hanging="360"/>
      </w:pPr>
      <w:rPr>
        <w:rFonts w:ascii="Times New Roman" w:eastAsia="바탕"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start w:val="1"/>
      <w:numFmt w:val="bullet"/>
      <w:lvlText w:val=""/>
      <w:lvlJc w:val="left"/>
      <w:pPr>
        <w:ind w:left="2400" w:hanging="400"/>
      </w:pPr>
      <w:rPr>
        <w:rFonts w:ascii="Wingdings" w:hAnsi="Wingdings" w:hint="default"/>
      </w:rPr>
    </w:lvl>
    <w:lvl w:ilvl="3" w:tplc="04090001">
      <w:start w:val="1"/>
      <w:numFmt w:val="bullet"/>
      <w:lvlText w:val=""/>
      <w:lvlJc w:val="left"/>
      <w:pPr>
        <w:ind w:left="2800" w:hanging="400"/>
      </w:pPr>
      <w:rPr>
        <w:rFonts w:ascii="Wingdings" w:hAnsi="Wingdings" w:hint="default"/>
      </w:rPr>
    </w:lvl>
    <w:lvl w:ilvl="4" w:tplc="04090003">
      <w:start w:val="1"/>
      <w:numFmt w:val="bullet"/>
      <w:lvlText w:val=""/>
      <w:lvlJc w:val="left"/>
      <w:pPr>
        <w:ind w:left="3200" w:hanging="400"/>
      </w:pPr>
      <w:rPr>
        <w:rFonts w:ascii="Wingdings" w:hAnsi="Wingdings" w:hint="default"/>
      </w:rPr>
    </w:lvl>
    <w:lvl w:ilvl="5" w:tplc="04090005">
      <w:start w:val="1"/>
      <w:numFmt w:val="bullet"/>
      <w:lvlText w:val=""/>
      <w:lvlJc w:val="left"/>
      <w:pPr>
        <w:ind w:left="3600" w:hanging="400"/>
      </w:pPr>
      <w:rPr>
        <w:rFonts w:ascii="Wingdings" w:hAnsi="Wingdings" w:hint="default"/>
      </w:rPr>
    </w:lvl>
    <w:lvl w:ilvl="6" w:tplc="04090001">
      <w:start w:val="1"/>
      <w:numFmt w:val="bullet"/>
      <w:lvlText w:val=""/>
      <w:lvlJc w:val="left"/>
      <w:pPr>
        <w:ind w:left="4000" w:hanging="400"/>
      </w:pPr>
      <w:rPr>
        <w:rFonts w:ascii="Wingdings" w:hAnsi="Wingdings" w:hint="default"/>
      </w:rPr>
    </w:lvl>
    <w:lvl w:ilvl="7" w:tplc="04090003">
      <w:start w:val="1"/>
      <w:numFmt w:val="bullet"/>
      <w:lvlText w:val=""/>
      <w:lvlJc w:val="left"/>
      <w:pPr>
        <w:ind w:left="4400" w:hanging="400"/>
      </w:pPr>
      <w:rPr>
        <w:rFonts w:ascii="Wingdings" w:hAnsi="Wingdings" w:hint="default"/>
      </w:rPr>
    </w:lvl>
    <w:lvl w:ilvl="8" w:tplc="04090005">
      <w:start w:val="1"/>
      <w:numFmt w:val="bullet"/>
      <w:lvlText w:val=""/>
      <w:lvlJc w:val="left"/>
      <w:pPr>
        <w:ind w:left="4800" w:hanging="400"/>
      </w:pPr>
      <w:rPr>
        <w:rFonts w:ascii="Wingdings" w:hAnsi="Wingdings" w:hint="default"/>
      </w:rPr>
    </w:lvl>
  </w:abstractNum>
  <w:abstractNum w:abstractNumId="6">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nsid w:val="54D52446"/>
    <w:multiLevelType w:val="hybridMultilevel"/>
    <w:tmpl w:val="7A62A518"/>
    <w:lvl w:ilvl="0" w:tplc="F6FA7CE4">
      <w:start w:val="1"/>
      <w:numFmt w:val="bullet"/>
      <w:lvlText w:val="•"/>
      <w:lvlJc w:val="left"/>
      <w:pPr>
        <w:tabs>
          <w:tab w:val="num" w:pos="720"/>
        </w:tabs>
        <w:ind w:left="720" w:hanging="360"/>
      </w:pPr>
      <w:rPr>
        <w:rFonts w:ascii="Arial" w:hAnsi="Arial" w:cs="Times New Roman" w:hint="default"/>
      </w:rPr>
    </w:lvl>
    <w:lvl w:ilvl="1" w:tplc="9E92C43C">
      <w:numFmt w:val="bullet"/>
      <w:lvlText w:val="–"/>
      <w:lvlJc w:val="left"/>
      <w:pPr>
        <w:tabs>
          <w:tab w:val="num" w:pos="1440"/>
        </w:tabs>
        <w:ind w:left="1440" w:hanging="360"/>
      </w:pPr>
      <w:rPr>
        <w:rFonts w:ascii="Arial" w:hAnsi="Arial" w:cs="Times New Roman" w:hint="default"/>
      </w:rPr>
    </w:lvl>
    <w:lvl w:ilvl="2" w:tplc="A472317A">
      <w:numFmt w:val="bullet"/>
      <w:lvlText w:val="•"/>
      <w:lvlJc w:val="left"/>
      <w:pPr>
        <w:tabs>
          <w:tab w:val="num" w:pos="2160"/>
        </w:tabs>
        <w:ind w:left="2160" w:hanging="360"/>
      </w:pPr>
      <w:rPr>
        <w:rFonts w:ascii="Arial" w:hAnsi="Arial" w:cs="Times New Roman" w:hint="default"/>
      </w:rPr>
    </w:lvl>
    <w:lvl w:ilvl="3" w:tplc="89340D6E">
      <w:start w:val="1"/>
      <w:numFmt w:val="bullet"/>
      <w:lvlText w:val="•"/>
      <w:lvlJc w:val="left"/>
      <w:pPr>
        <w:tabs>
          <w:tab w:val="num" w:pos="2880"/>
        </w:tabs>
        <w:ind w:left="2880" w:hanging="360"/>
      </w:pPr>
      <w:rPr>
        <w:rFonts w:ascii="Arial" w:hAnsi="Arial" w:cs="Times New Roman" w:hint="default"/>
      </w:rPr>
    </w:lvl>
    <w:lvl w:ilvl="4" w:tplc="7192649A">
      <w:start w:val="1"/>
      <w:numFmt w:val="bullet"/>
      <w:lvlText w:val="•"/>
      <w:lvlJc w:val="left"/>
      <w:pPr>
        <w:tabs>
          <w:tab w:val="num" w:pos="3600"/>
        </w:tabs>
        <w:ind w:left="3600" w:hanging="360"/>
      </w:pPr>
      <w:rPr>
        <w:rFonts w:ascii="Arial" w:hAnsi="Arial" w:cs="Times New Roman" w:hint="default"/>
      </w:rPr>
    </w:lvl>
    <w:lvl w:ilvl="5" w:tplc="BD6442A4">
      <w:start w:val="1"/>
      <w:numFmt w:val="bullet"/>
      <w:lvlText w:val="•"/>
      <w:lvlJc w:val="left"/>
      <w:pPr>
        <w:tabs>
          <w:tab w:val="num" w:pos="4320"/>
        </w:tabs>
        <w:ind w:left="4320" w:hanging="360"/>
      </w:pPr>
      <w:rPr>
        <w:rFonts w:ascii="Arial" w:hAnsi="Arial" w:cs="Times New Roman" w:hint="default"/>
      </w:rPr>
    </w:lvl>
    <w:lvl w:ilvl="6" w:tplc="DE5C0674">
      <w:start w:val="1"/>
      <w:numFmt w:val="bullet"/>
      <w:lvlText w:val="•"/>
      <w:lvlJc w:val="left"/>
      <w:pPr>
        <w:tabs>
          <w:tab w:val="num" w:pos="5040"/>
        </w:tabs>
        <w:ind w:left="5040" w:hanging="360"/>
      </w:pPr>
      <w:rPr>
        <w:rFonts w:ascii="Arial" w:hAnsi="Arial" w:cs="Times New Roman" w:hint="default"/>
      </w:rPr>
    </w:lvl>
    <w:lvl w:ilvl="7" w:tplc="F8BE2188">
      <w:start w:val="1"/>
      <w:numFmt w:val="bullet"/>
      <w:lvlText w:val="•"/>
      <w:lvlJc w:val="left"/>
      <w:pPr>
        <w:tabs>
          <w:tab w:val="num" w:pos="5760"/>
        </w:tabs>
        <w:ind w:left="5760" w:hanging="360"/>
      </w:pPr>
      <w:rPr>
        <w:rFonts w:ascii="Arial" w:hAnsi="Arial" w:cs="Times New Roman" w:hint="default"/>
      </w:rPr>
    </w:lvl>
    <w:lvl w:ilvl="8" w:tplc="CDB04E3E">
      <w:start w:val="1"/>
      <w:numFmt w:val="bullet"/>
      <w:lvlText w:val="•"/>
      <w:lvlJc w:val="left"/>
      <w:pPr>
        <w:tabs>
          <w:tab w:val="num" w:pos="6480"/>
        </w:tabs>
        <w:ind w:left="6480" w:hanging="360"/>
      </w:pPr>
      <w:rPr>
        <w:rFonts w:ascii="Arial" w:hAnsi="Arial" w:cs="Times New Roman" w:hint="default"/>
      </w:rPr>
    </w:lvl>
  </w:abstractNum>
  <w:abstractNum w:abstractNumId="10">
    <w:nsid w:val="55FE300D"/>
    <w:multiLevelType w:val="hybridMultilevel"/>
    <w:tmpl w:val="5F56E286"/>
    <w:lvl w:ilvl="0" w:tplc="B31847C2">
      <w:start w:val="1"/>
      <w:numFmt w:val="bullet"/>
      <w:lvlText w:val="•"/>
      <w:lvlJc w:val="left"/>
      <w:pPr>
        <w:tabs>
          <w:tab w:val="num" w:pos="720"/>
        </w:tabs>
        <w:ind w:left="720" w:hanging="360"/>
      </w:pPr>
      <w:rPr>
        <w:rFonts w:ascii="Arial" w:hAnsi="Arial" w:hint="default"/>
      </w:rPr>
    </w:lvl>
    <w:lvl w:ilvl="1" w:tplc="3D986002" w:tentative="1">
      <w:start w:val="1"/>
      <w:numFmt w:val="bullet"/>
      <w:lvlText w:val="•"/>
      <w:lvlJc w:val="left"/>
      <w:pPr>
        <w:tabs>
          <w:tab w:val="num" w:pos="1440"/>
        </w:tabs>
        <w:ind w:left="1440" w:hanging="360"/>
      </w:pPr>
      <w:rPr>
        <w:rFonts w:ascii="Arial" w:hAnsi="Arial" w:hint="default"/>
      </w:rPr>
    </w:lvl>
    <w:lvl w:ilvl="2" w:tplc="8C0C131A" w:tentative="1">
      <w:start w:val="1"/>
      <w:numFmt w:val="bullet"/>
      <w:lvlText w:val="•"/>
      <w:lvlJc w:val="left"/>
      <w:pPr>
        <w:tabs>
          <w:tab w:val="num" w:pos="2160"/>
        </w:tabs>
        <w:ind w:left="2160" w:hanging="360"/>
      </w:pPr>
      <w:rPr>
        <w:rFonts w:ascii="Arial" w:hAnsi="Arial" w:hint="default"/>
      </w:rPr>
    </w:lvl>
    <w:lvl w:ilvl="3" w:tplc="25406A84" w:tentative="1">
      <w:start w:val="1"/>
      <w:numFmt w:val="bullet"/>
      <w:lvlText w:val="•"/>
      <w:lvlJc w:val="left"/>
      <w:pPr>
        <w:tabs>
          <w:tab w:val="num" w:pos="2880"/>
        </w:tabs>
        <w:ind w:left="2880" w:hanging="360"/>
      </w:pPr>
      <w:rPr>
        <w:rFonts w:ascii="Arial" w:hAnsi="Arial" w:hint="default"/>
      </w:rPr>
    </w:lvl>
    <w:lvl w:ilvl="4" w:tplc="C308A416" w:tentative="1">
      <w:start w:val="1"/>
      <w:numFmt w:val="bullet"/>
      <w:lvlText w:val="•"/>
      <w:lvlJc w:val="left"/>
      <w:pPr>
        <w:tabs>
          <w:tab w:val="num" w:pos="3600"/>
        </w:tabs>
        <w:ind w:left="3600" w:hanging="360"/>
      </w:pPr>
      <w:rPr>
        <w:rFonts w:ascii="Arial" w:hAnsi="Arial" w:hint="default"/>
      </w:rPr>
    </w:lvl>
    <w:lvl w:ilvl="5" w:tplc="782E1EB2" w:tentative="1">
      <w:start w:val="1"/>
      <w:numFmt w:val="bullet"/>
      <w:lvlText w:val="•"/>
      <w:lvlJc w:val="left"/>
      <w:pPr>
        <w:tabs>
          <w:tab w:val="num" w:pos="4320"/>
        </w:tabs>
        <w:ind w:left="4320" w:hanging="360"/>
      </w:pPr>
      <w:rPr>
        <w:rFonts w:ascii="Arial" w:hAnsi="Arial" w:hint="default"/>
      </w:rPr>
    </w:lvl>
    <w:lvl w:ilvl="6" w:tplc="10DC2236" w:tentative="1">
      <w:start w:val="1"/>
      <w:numFmt w:val="bullet"/>
      <w:lvlText w:val="•"/>
      <w:lvlJc w:val="left"/>
      <w:pPr>
        <w:tabs>
          <w:tab w:val="num" w:pos="5040"/>
        </w:tabs>
        <w:ind w:left="5040" w:hanging="360"/>
      </w:pPr>
      <w:rPr>
        <w:rFonts w:ascii="Arial" w:hAnsi="Arial" w:hint="default"/>
      </w:rPr>
    </w:lvl>
    <w:lvl w:ilvl="7" w:tplc="DC925892" w:tentative="1">
      <w:start w:val="1"/>
      <w:numFmt w:val="bullet"/>
      <w:lvlText w:val="•"/>
      <w:lvlJc w:val="left"/>
      <w:pPr>
        <w:tabs>
          <w:tab w:val="num" w:pos="5760"/>
        </w:tabs>
        <w:ind w:left="5760" w:hanging="360"/>
      </w:pPr>
      <w:rPr>
        <w:rFonts w:ascii="Arial" w:hAnsi="Arial" w:hint="default"/>
      </w:rPr>
    </w:lvl>
    <w:lvl w:ilvl="8" w:tplc="32425C32" w:tentative="1">
      <w:start w:val="1"/>
      <w:numFmt w:val="bullet"/>
      <w:lvlText w:val="•"/>
      <w:lvlJc w:val="left"/>
      <w:pPr>
        <w:tabs>
          <w:tab w:val="num" w:pos="6480"/>
        </w:tabs>
        <w:ind w:left="6480" w:hanging="360"/>
      </w:pPr>
      <w:rPr>
        <w:rFonts w:ascii="Arial" w:hAnsi="Arial" w:hint="default"/>
      </w:rPr>
    </w:lvl>
  </w:abstractNum>
  <w:abstractNum w:abstractNumId="11">
    <w:nsid w:val="5E7614A2"/>
    <w:multiLevelType w:val="hybridMultilevel"/>
    <w:tmpl w:val="9B7A0266"/>
    <w:lvl w:ilvl="0" w:tplc="7A0A755C">
      <w:start w:val="1"/>
      <w:numFmt w:val="bullet"/>
      <w:lvlText w:val="•"/>
      <w:lvlJc w:val="left"/>
      <w:pPr>
        <w:tabs>
          <w:tab w:val="num" w:pos="720"/>
        </w:tabs>
        <w:ind w:left="720" w:hanging="360"/>
      </w:pPr>
      <w:rPr>
        <w:rFonts w:ascii="Arial" w:hAnsi="Arial" w:hint="default"/>
      </w:rPr>
    </w:lvl>
    <w:lvl w:ilvl="1" w:tplc="B0E6094C">
      <w:start w:val="1"/>
      <w:numFmt w:val="bullet"/>
      <w:lvlText w:val="•"/>
      <w:lvlJc w:val="left"/>
      <w:pPr>
        <w:tabs>
          <w:tab w:val="num" w:pos="1440"/>
        </w:tabs>
        <w:ind w:left="1440" w:hanging="360"/>
      </w:pPr>
      <w:rPr>
        <w:rFonts w:ascii="Arial" w:hAnsi="Arial" w:hint="default"/>
      </w:rPr>
    </w:lvl>
    <w:lvl w:ilvl="2" w:tplc="F7E6D4A4" w:tentative="1">
      <w:start w:val="1"/>
      <w:numFmt w:val="bullet"/>
      <w:lvlText w:val="•"/>
      <w:lvlJc w:val="left"/>
      <w:pPr>
        <w:tabs>
          <w:tab w:val="num" w:pos="2160"/>
        </w:tabs>
        <w:ind w:left="2160" w:hanging="360"/>
      </w:pPr>
      <w:rPr>
        <w:rFonts w:ascii="Arial" w:hAnsi="Arial" w:hint="default"/>
      </w:rPr>
    </w:lvl>
    <w:lvl w:ilvl="3" w:tplc="59AA354E" w:tentative="1">
      <w:start w:val="1"/>
      <w:numFmt w:val="bullet"/>
      <w:lvlText w:val="•"/>
      <w:lvlJc w:val="left"/>
      <w:pPr>
        <w:tabs>
          <w:tab w:val="num" w:pos="2880"/>
        </w:tabs>
        <w:ind w:left="2880" w:hanging="360"/>
      </w:pPr>
      <w:rPr>
        <w:rFonts w:ascii="Arial" w:hAnsi="Arial" w:hint="default"/>
      </w:rPr>
    </w:lvl>
    <w:lvl w:ilvl="4" w:tplc="7ECE4474" w:tentative="1">
      <w:start w:val="1"/>
      <w:numFmt w:val="bullet"/>
      <w:lvlText w:val="•"/>
      <w:lvlJc w:val="left"/>
      <w:pPr>
        <w:tabs>
          <w:tab w:val="num" w:pos="3600"/>
        </w:tabs>
        <w:ind w:left="3600" w:hanging="360"/>
      </w:pPr>
      <w:rPr>
        <w:rFonts w:ascii="Arial" w:hAnsi="Arial" w:hint="default"/>
      </w:rPr>
    </w:lvl>
    <w:lvl w:ilvl="5" w:tplc="A70A92CA" w:tentative="1">
      <w:start w:val="1"/>
      <w:numFmt w:val="bullet"/>
      <w:lvlText w:val="•"/>
      <w:lvlJc w:val="left"/>
      <w:pPr>
        <w:tabs>
          <w:tab w:val="num" w:pos="4320"/>
        </w:tabs>
        <w:ind w:left="4320" w:hanging="360"/>
      </w:pPr>
      <w:rPr>
        <w:rFonts w:ascii="Arial" w:hAnsi="Arial" w:hint="default"/>
      </w:rPr>
    </w:lvl>
    <w:lvl w:ilvl="6" w:tplc="F6304BD4" w:tentative="1">
      <w:start w:val="1"/>
      <w:numFmt w:val="bullet"/>
      <w:lvlText w:val="•"/>
      <w:lvlJc w:val="left"/>
      <w:pPr>
        <w:tabs>
          <w:tab w:val="num" w:pos="5040"/>
        </w:tabs>
        <w:ind w:left="5040" w:hanging="360"/>
      </w:pPr>
      <w:rPr>
        <w:rFonts w:ascii="Arial" w:hAnsi="Arial" w:hint="default"/>
      </w:rPr>
    </w:lvl>
    <w:lvl w:ilvl="7" w:tplc="6AB65EF8" w:tentative="1">
      <w:start w:val="1"/>
      <w:numFmt w:val="bullet"/>
      <w:lvlText w:val="•"/>
      <w:lvlJc w:val="left"/>
      <w:pPr>
        <w:tabs>
          <w:tab w:val="num" w:pos="5760"/>
        </w:tabs>
        <w:ind w:left="5760" w:hanging="360"/>
      </w:pPr>
      <w:rPr>
        <w:rFonts w:ascii="Arial" w:hAnsi="Arial" w:hint="default"/>
      </w:rPr>
    </w:lvl>
    <w:lvl w:ilvl="8" w:tplc="BF62A6B4" w:tentative="1">
      <w:start w:val="1"/>
      <w:numFmt w:val="bullet"/>
      <w:lvlText w:val="•"/>
      <w:lvlJc w:val="left"/>
      <w:pPr>
        <w:tabs>
          <w:tab w:val="num" w:pos="6480"/>
        </w:tabs>
        <w:ind w:left="6480" w:hanging="360"/>
      </w:pPr>
      <w:rPr>
        <w:rFonts w:ascii="Arial" w:hAnsi="Arial" w:hint="default"/>
      </w:rPr>
    </w:lvl>
  </w:abstractNum>
  <w:abstractNum w:abstractNumId="12">
    <w:nsid w:val="62A34039"/>
    <w:multiLevelType w:val="hybridMultilevel"/>
    <w:tmpl w:val="301E35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62C146BF"/>
    <w:multiLevelType w:val="multilevel"/>
    <w:tmpl w:val="A2BEC02C"/>
    <w:lvl w:ilvl="0">
      <w:start w:val="1"/>
      <w:numFmt w:val="decimal"/>
      <w:lvlText w:val="[%1]"/>
      <w:lvlJc w:val="left"/>
      <w:pPr>
        <w:tabs>
          <w:tab w:val="num" w:pos="850"/>
        </w:tabs>
        <w:ind w:left="850" w:hanging="425"/>
      </w:pPr>
      <w:rPr>
        <w:rFonts w:hint="default"/>
      </w:rPr>
    </w:lvl>
    <w:lvl w:ilvl="1">
      <w:start w:val="1"/>
      <w:numFmt w:val="decimal"/>
      <w:lvlText w:val="%1.%2."/>
      <w:lvlJc w:val="left"/>
      <w:pPr>
        <w:tabs>
          <w:tab w:val="num" w:pos="992"/>
        </w:tabs>
        <w:ind w:left="992" w:hanging="567"/>
      </w:pPr>
      <w:rPr>
        <w:sz w:val="24"/>
        <w:szCs w:val="24"/>
      </w:r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1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BD2150"/>
    <w:multiLevelType w:val="hybridMultilevel"/>
    <w:tmpl w:val="7B083DF0"/>
    <w:lvl w:ilvl="0" w:tplc="04090001">
      <w:start w:val="1"/>
      <w:numFmt w:val="bullet"/>
      <w:lvlText w:val=""/>
      <w:lvlJc w:val="left"/>
      <w:pPr>
        <w:ind w:left="927"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7D421B68"/>
    <w:multiLevelType w:val="hybridMultilevel"/>
    <w:tmpl w:val="163C68B2"/>
    <w:lvl w:ilvl="0" w:tplc="5D306924">
      <w:start w:val="1"/>
      <w:numFmt w:val="bullet"/>
      <w:pStyle w:val="a0"/>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4"/>
  </w:num>
  <w:num w:numId="2">
    <w:abstractNumId w:val="3"/>
  </w:num>
  <w:num w:numId="3">
    <w:abstractNumId w:val="8"/>
  </w:num>
  <w:num w:numId="4">
    <w:abstractNumId w:val="14"/>
  </w:num>
  <w:num w:numId="5">
    <w:abstractNumId w:val="16"/>
  </w:num>
  <w:num w:numId="6">
    <w:abstractNumId w:val="6"/>
  </w:num>
  <w:num w:numId="7">
    <w:abstractNumId w:val="15"/>
  </w:num>
  <w:num w:numId="8">
    <w:abstractNumId w:val="5"/>
  </w:num>
  <w:num w:numId="9">
    <w:abstractNumId w:val="1"/>
  </w:num>
  <w:num w:numId="10">
    <w:abstractNumId w:val="0"/>
  </w:num>
  <w:num w:numId="11">
    <w:abstractNumId w:val="9"/>
  </w:num>
  <w:num w:numId="12">
    <w:abstractNumId w:val="2"/>
  </w:num>
  <w:num w:numId="13">
    <w:abstractNumId w:val="13"/>
  </w:num>
  <w:num w:numId="14">
    <w:abstractNumId w:val="7"/>
  </w:num>
  <w:num w:numId="15">
    <w:abstractNumId w:val="11"/>
  </w:num>
  <w:num w:numId="16">
    <w:abstractNumId w:val="10"/>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4C"/>
    <w:rsid w:val="00011651"/>
    <w:rsid w:val="0001258E"/>
    <w:rsid w:val="00012850"/>
    <w:rsid w:val="00012E36"/>
    <w:rsid w:val="00012FDD"/>
    <w:rsid w:val="00013055"/>
    <w:rsid w:val="000131DA"/>
    <w:rsid w:val="00013482"/>
    <w:rsid w:val="0001361E"/>
    <w:rsid w:val="00013C2C"/>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3C3"/>
    <w:rsid w:val="00021728"/>
    <w:rsid w:val="0002239C"/>
    <w:rsid w:val="00022517"/>
    <w:rsid w:val="000233F4"/>
    <w:rsid w:val="00023BE1"/>
    <w:rsid w:val="00023CC7"/>
    <w:rsid w:val="0002413F"/>
    <w:rsid w:val="00024B47"/>
    <w:rsid w:val="00025124"/>
    <w:rsid w:val="00025449"/>
    <w:rsid w:val="0002587A"/>
    <w:rsid w:val="00025D9A"/>
    <w:rsid w:val="00025EF9"/>
    <w:rsid w:val="000260CD"/>
    <w:rsid w:val="00026134"/>
    <w:rsid w:val="0002693C"/>
    <w:rsid w:val="00026D91"/>
    <w:rsid w:val="000272EB"/>
    <w:rsid w:val="00027D4D"/>
    <w:rsid w:val="00027D81"/>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DE3"/>
    <w:rsid w:val="00036063"/>
    <w:rsid w:val="000366A1"/>
    <w:rsid w:val="00036B40"/>
    <w:rsid w:val="00036BB0"/>
    <w:rsid w:val="00036BF8"/>
    <w:rsid w:val="00036DA1"/>
    <w:rsid w:val="000401DC"/>
    <w:rsid w:val="00041274"/>
    <w:rsid w:val="000415AB"/>
    <w:rsid w:val="00041B42"/>
    <w:rsid w:val="00041EA9"/>
    <w:rsid w:val="0004289F"/>
    <w:rsid w:val="00042BFA"/>
    <w:rsid w:val="0004330F"/>
    <w:rsid w:val="000439C8"/>
    <w:rsid w:val="00043B5F"/>
    <w:rsid w:val="000450D9"/>
    <w:rsid w:val="0004536E"/>
    <w:rsid w:val="00046061"/>
    <w:rsid w:val="000461D0"/>
    <w:rsid w:val="00046C16"/>
    <w:rsid w:val="00046F2A"/>
    <w:rsid w:val="000474BB"/>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045"/>
    <w:rsid w:val="0005792C"/>
    <w:rsid w:val="000579A3"/>
    <w:rsid w:val="000607E7"/>
    <w:rsid w:val="00060954"/>
    <w:rsid w:val="00060BFE"/>
    <w:rsid w:val="00060C02"/>
    <w:rsid w:val="00060DD6"/>
    <w:rsid w:val="00061620"/>
    <w:rsid w:val="00061791"/>
    <w:rsid w:val="00061794"/>
    <w:rsid w:val="00061811"/>
    <w:rsid w:val="000621DE"/>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676"/>
    <w:rsid w:val="000757E6"/>
    <w:rsid w:val="00075E99"/>
    <w:rsid w:val="00076229"/>
    <w:rsid w:val="00076619"/>
    <w:rsid w:val="0007664C"/>
    <w:rsid w:val="0007720E"/>
    <w:rsid w:val="000779BC"/>
    <w:rsid w:val="0008041A"/>
    <w:rsid w:val="00080C62"/>
    <w:rsid w:val="00080D26"/>
    <w:rsid w:val="000812E5"/>
    <w:rsid w:val="0008142A"/>
    <w:rsid w:val="000815E5"/>
    <w:rsid w:val="00081EB0"/>
    <w:rsid w:val="00081FEC"/>
    <w:rsid w:val="00082434"/>
    <w:rsid w:val="00082B84"/>
    <w:rsid w:val="000834BD"/>
    <w:rsid w:val="000834FE"/>
    <w:rsid w:val="00083802"/>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F30"/>
    <w:rsid w:val="00095BE6"/>
    <w:rsid w:val="00095F2C"/>
    <w:rsid w:val="00095F9F"/>
    <w:rsid w:val="000964F1"/>
    <w:rsid w:val="00096AD9"/>
    <w:rsid w:val="00097236"/>
    <w:rsid w:val="0009747F"/>
    <w:rsid w:val="00097571"/>
    <w:rsid w:val="000A0045"/>
    <w:rsid w:val="000A0AB7"/>
    <w:rsid w:val="000A113C"/>
    <w:rsid w:val="000A11A7"/>
    <w:rsid w:val="000A1325"/>
    <w:rsid w:val="000A16E0"/>
    <w:rsid w:val="000A16ED"/>
    <w:rsid w:val="000A190E"/>
    <w:rsid w:val="000A288F"/>
    <w:rsid w:val="000A2A3F"/>
    <w:rsid w:val="000A2BEF"/>
    <w:rsid w:val="000A2FD1"/>
    <w:rsid w:val="000A313F"/>
    <w:rsid w:val="000A33A0"/>
    <w:rsid w:val="000A35AA"/>
    <w:rsid w:val="000A35C5"/>
    <w:rsid w:val="000A39F4"/>
    <w:rsid w:val="000A4029"/>
    <w:rsid w:val="000A40CF"/>
    <w:rsid w:val="000A4190"/>
    <w:rsid w:val="000A41F4"/>
    <w:rsid w:val="000A486D"/>
    <w:rsid w:val="000A492B"/>
    <w:rsid w:val="000A4B87"/>
    <w:rsid w:val="000A5200"/>
    <w:rsid w:val="000A58BF"/>
    <w:rsid w:val="000A5DC7"/>
    <w:rsid w:val="000A5FF4"/>
    <w:rsid w:val="000A62E7"/>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2D1"/>
    <w:rsid w:val="000B759D"/>
    <w:rsid w:val="000B7695"/>
    <w:rsid w:val="000B7ED9"/>
    <w:rsid w:val="000B7EFD"/>
    <w:rsid w:val="000C029D"/>
    <w:rsid w:val="000C06C1"/>
    <w:rsid w:val="000C0BCF"/>
    <w:rsid w:val="000C1030"/>
    <w:rsid w:val="000C235B"/>
    <w:rsid w:val="000C2A55"/>
    <w:rsid w:val="000C2BA0"/>
    <w:rsid w:val="000C3121"/>
    <w:rsid w:val="000C37FB"/>
    <w:rsid w:val="000C4651"/>
    <w:rsid w:val="000C4AAB"/>
    <w:rsid w:val="000C4B2D"/>
    <w:rsid w:val="000C5084"/>
    <w:rsid w:val="000C512C"/>
    <w:rsid w:val="000C5285"/>
    <w:rsid w:val="000C555C"/>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909"/>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2173"/>
    <w:rsid w:val="000F2618"/>
    <w:rsid w:val="000F2AA7"/>
    <w:rsid w:val="000F2AE4"/>
    <w:rsid w:val="000F3E05"/>
    <w:rsid w:val="000F4B8A"/>
    <w:rsid w:val="000F4C32"/>
    <w:rsid w:val="000F6048"/>
    <w:rsid w:val="000F62A9"/>
    <w:rsid w:val="000F63D8"/>
    <w:rsid w:val="000F764B"/>
    <w:rsid w:val="000F7B1A"/>
    <w:rsid w:val="000F7B97"/>
    <w:rsid w:val="000F7ECB"/>
    <w:rsid w:val="00100321"/>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4C29"/>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077"/>
    <w:rsid w:val="0012070D"/>
    <w:rsid w:val="001208F1"/>
    <w:rsid w:val="00120D3A"/>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283D"/>
    <w:rsid w:val="0013358C"/>
    <w:rsid w:val="001339E3"/>
    <w:rsid w:val="00133B03"/>
    <w:rsid w:val="00133CFA"/>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CB6"/>
    <w:rsid w:val="001442B3"/>
    <w:rsid w:val="0014494E"/>
    <w:rsid w:val="00144B46"/>
    <w:rsid w:val="00144CA9"/>
    <w:rsid w:val="00144F3A"/>
    <w:rsid w:val="001461F6"/>
    <w:rsid w:val="00146769"/>
    <w:rsid w:val="00146C8B"/>
    <w:rsid w:val="00146E6B"/>
    <w:rsid w:val="00147438"/>
    <w:rsid w:val="001475D4"/>
    <w:rsid w:val="0014775B"/>
    <w:rsid w:val="00147842"/>
    <w:rsid w:val="001479B8"/>
    <w:rsid w:val="00147B78"/>
    <w:rsid w:val="00147C9F"/>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7937"/>
    <w:rsid w:val="00157F66"/>
    <w:rsid w:val="001601F8"/>
    <w:rsid w:val="0016068D"/>
    <w:rsid w:val="00160A49"/>
    <w:rsid w:val="00160DE4"/>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A95"/>
    <w:rsid w:val="00171E0B"/>
    <w:rsid w:val="001721BA"/>
    <w:rsid w:val="0017261B"/>
    <w:rsid w:val="001726A5"/>
    <w:rsid w:val="001727B6"/>
    <w:rsid w:val="00172857"/>
    <w:rsid w:val="00172982"/>
    <w:rsid w:val="0017379B"/>
    <w:rsid w:val="0017388C"/>
    <w:rsid w:val="00173C53"/>
    <w:rsid w:val="00173C85"/>
    <w:rsid w:val="00173CFC"/>
    <w:rsid w:val="00175C48"/>
    <w:rsid w:val="00176136"/>
    <w:rsid w:val="00176508"/>
    <w:rsid w:val="001765E3"/>
    <w:rsid w:val="00177520"/>
    <w:rsid w:val="00177928"/>
    <w:rsid w:val="00177A83"/>
    <w:rsid w:val="00177DE5"/>
    <w:rsid w:val="001801E9"/>
    <w:rsid w:val="001805F6"/>
    <w:rsid w:val="001808A1"/>
    <w:rsid w:val="00180D28"/>
    <w:rsid w:val="00181016"/>
    <w:rsid w:val="001813C6"/>
    <w:rsid w:val="00181A5D"/>
    <w:rsid w:val="00181D17"/>
    <w:rsid w:val="00182B35"/>
    <w:rsid w:val="00183377"/>
    <w:rsid w:val="001834C2"/>
    <w:rsid w:val="00183580"/>
    <w:rsid w:val="00183DF9"/>
    <w:rsid w:val="00184E53"/>
    <w:rsid w:val="001854EA"/>
    <w:rsid w:val="00185620"/>
    <w:rsid w:val="00185913"/>
    <w:rsid w:val="0018591D"/>
    <w:rsid w:val="001864D4"/>
    <w:rsid w:val="00186D33"/>
    <w:rsid w:val="00186F5B"/>
    <w:rsid w:val="00186FB9"/>
    <w:rsid w:val="00187AD5"/>
    <w:rsid w:val="00187D95"/>
    <w:rsid w:val="00191105"/>
    <w:rsid w:val="0019129D"/>
    <w:rsid w:val="001914DC"/>
    <w:rsid w:val="001914E2"/>
    <w:rsid w:val="001919CA"/>
    <w:rsid w:val="001927D2"/>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7D3"/>
    <w:rsid w:val="001B3A9D"/>
    <w:rsid w:val="001B42EF"/>
    <w:rsid w:val="001B48C6"/>
    <w:rsid w:val="001B4B99"/>
    <w:rsid w:val="001B54F0"/>
    <w:rsid w:val="001B56BF"/>
    <w:rsid w:val="001B5C3D"/>
    <w:rsid w:val="001B63E8"/>
    <w:rsid w:val="001B68E1"/>
    <w:rsid w:val="001B6BD6"/>
    <w:rsid w:val="001C00BB"/>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45C"/>
    <w:rsid w:val="001C654C"/>
    <w:rsid w:val="001C65AD"/>
    <w:rsid w:val="001C6EDF"/>
    <w:rsid w:val="001C7142"/>
    <w:rsid w:val="001C7C1B"/>
    <w:rsid w:val="001D03B1"/>
    <w:rsid w:val="001D0712"/>
    <w:rsid w:val="001D0EB1"/>
    <w:rsid w:val="001D16C9"/>
    <w:rsid w:val="001D1832"/>
    <w:rsid w:val="001D1929"/>
    <w:rsid w:val="001D2822"/>
    <w:rsid w:val="001D2ABD"/>
    <w:rsid w:val="001D2B66"/>
    <w:rsid w:val="001D3007"/>
    <w:rsid w:val="001D3CCF"/>
    <w:rsid w:val="001D5001"/>
    <w:rsid w:val="001D5471"/>
    <w:rsid w:val="001D5D61"/>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1F78F5"/>
    <w:rsid w:val="0020060A"/>
    <w:rsid w:val="002008CB"/>
    <w:rsid w:val="002012B1"/>
    <w:rsid w:val="00201ECD"/>
    <w:rsid w:val="00201FE1"/>
    <w:rsid w:val="002020D2"/>
    <w:rsid w:val="002021BE"/>
    <w:rsid w:val="00202844"/>
    <w:rsid w:val="00202D7F"/>
    <w:rsid w:val="002030F6"/>
    <w:rsid w:val="002031E8"/>
    <w:rsid w:val="00203496"/>
    <w:rsid w:val="00203F51"/>
    <w:rsid w:val="002043C3"/>
    <w:rsid w:val="00205AA2"/>
    <w:rsid w:val="002060BF"/>
    <w:rsid w:val="00206851"/>
    <w:rsid w:val="00207486"/>
    <w:rsid w:val="00207646"/>
    <w:rsid w:val="0021000B"/>
    <w:rsid w:val="002100F5"/>
    <w:rsid w:val="002103A0"/>
    <w:rsid w:val="00210929"/>
    <w:rsid w:val="00210B8D"/>
    <w:rsid w:val="00210E27"/>
    <w:rsid w:val="00210E3A"/>
    <w:rsid w:val="002111DB"/>
    <w:rsid w:val="00211A29"/>
    <w:rsid w:val="00211A5D"/>
    <w:rsid w:val="00211CAC"/>
    <w:rsid w:val="00211E74"/>
    <w:rsid w:val="00211F4D"/>
    <w:rsid w:val="00212294"/>
    <w:rsid w:val="002123B6"/>
    <w:rsid w:val="002124CB"/>
    <w:rsid w:val="00212654"/>
    <w:rsid w:val="00212C1F"/>
    <w:rsid w:val="002134F0"/>
    <w:rsid w:val="00213A9B"/>
    <w:rsid w:val="00213F20"/>
    <w:rsid w:val="00213F53"/>
    <w:rsid w:val="00214368"/>
    <w:rsid w:val="00214BAD"/>
    <w:rsid w:val="00214CF5"/>
    <w:rsid w:val="00214F4B"/>
    <w:rsid w:val="002152B8"/>
    <w:rsid w:val="00215536"/>
    <w:rsid w:val="002162F0"/>
    <w:rsid w:val="00216483"/>
    <w:rsid w:val="002164B0"/>
    <w:rsid w:val="00216559"/>
    <w:rsid w:val="0021656F"/>
    <w:rsid w:val="002165B0"/>
    <w:rsid w:val="00216C26"/>
    <w:rsid w:val="00216F55"/>
    <w:rsid w:val="0022050C"/>
    <w:rsid w:val="002212FF"/>
    <w:rsid w:val="0022168B"/>
    <w:rsid w:val="0022193B"/>
    <w:rsid w:val="00221F50"/>
    <w:rsid w:val="00221F7F"/>
    <w:rsid w:val="00222182"/>
    <w:rsid w:val="00222F9D"/>
    <w:rsid w:val="002230B5"/>
    <w:rsid w:val="0022327B"/>
    <w:rsid w:val="0022361F"/>
    <w:rsid w:val="00223EE5"/>
    <w:rsid w:val="00223F65"/>
    <w:rsid w:val="00224301"/>
    <w:rsid w:val="00224333"/>
    <w:rsid w:val="00225032"/>
    <w:rsid w:val="0022562C"/>
    <w:rsid w:val="002256F7"/>
    <w:rsid w:val="00225D35"/>
    <w:rsid w:val="00225F5F"/>
    <w:rsid w:val="00226250"/>
    <w:rsid w:val="0022650F"/>
    <w:rsid w:val="00226EAE"/>
    <w:rsid w:val="002272EF"/>
    <w:rsid w:val="002275CF"/>
    <w:rsid w:val="00230515"/>
    <w:rsid w:val="00230720"/>
    <w:rsid w:val="00230A8A"/>
    <w:rsid w:val="00231CF2"/>
    <w:rsid w:val="00231DD2"/>
    <w:rsid w:val="00231E8A"/>
    <w:rsid w:val="002320CC"/>
    <w:rsid w:val="00232F1F"/>
    <w:rsid w:val="00233EAF"/>
    <w:rsid w:val="00233EFD"/>
    <w:rsid w:val="0023477F"/>
    <w:rsid w:val="002347A5"/>
    <w:rsid w:val="00234D3F"/>
    <w:rsid w:val="002351A0"/>
    <w:rsid w:val="0023543C"/>
    <w:rsid w:val="0023563B"/>
    <w:rsid w:val="00235C79"/>
    <w:rsid w:val="00235CF4"/>
    <w:rsid w:val="00235FC9"/>
    <w:rsid w:val="002367BD"/>
    <w:rsid w:val="00236A6E"/>
    <w:rsid w:val="00236DB9"/>
    <w:rsid w:val="00237042"/>
    <w:rsid w:val="00237121"/>
    <w:rsid w:val="002378B4"/>
    <w:rsid w:val="00237B0A"/>
    <w:rsid w:val="00237D68"/>
    <w:rsid w:val="0024106C"/>
    <w:rsid w:val="00241070"/>
    <w:rsid w:val="002412B9"/>
    <w:rsid w:val="0024215B"/>
    <w:rsid w:val="0024225D"/>
    <w:rsid w:val="00242291"/>
    <w:rsid w:val="002424D6"/>
    <w:rsid w:val="00242BA9"/>
    <w:rsid w:val="00242D63"/>
    <w:rsid w:val="0024331B"/>
    <w:rsid w:val="002438E4"/>
    <w:rsid w:val="00243CDC"/>
    <w:rsid w:val="00244592"/>
    <w:rsid w:val="00244DD2"/>
    <w:rsid w:val="0024505A"/>
    <w:rsid w:val="00245EA0"/>
    <w:rsid w:val="00246396"/>
    <w:rsid w:val="00246413"/>
    <w:rsid w:val="00247F15"/>
    <w:rsid w:val="00247F99"/>
    <w:rsid w:val="0025153F"/>
    <w:rsid w:val="00251914"/>
    <w:rsid w:val="00251C4D"/>
    <w:rsid w:val="00251DED"/>
    <w:rsid w:val="0025224A"/>
    <w:rsid w:val="00252265"/>
    <w:rsid w:val="00253046"/>
    <w:rsid w:val="002531D4"/>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82C"/>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59F4"/>
    <w:rsid w:val="00266083"/>
    <w:rsid w:val="00266498"/>
    <w:rsid w:val="002666C0"/>
    <w:rsid w:val="00266DF4"/>
    <w:rsid w:val="0026718D"/>
    <w:rsid w:val="00267BAA"/>
    <w:rsid w:val="00267BDB"/>
    <w:rsid w:val="0027000D"/>
    <w:rsid w:val="00270681"/>
    <w:rsid w:val="0027074F"/>
    <w:rsid w:val="002714BA"/>
    <w:rsid w:val="002714D2"/>
    <w:rsid w:val="00271644"/>
    <w:rsid w:val="00272203"/>
    <w:rsid w:val="002727B2"/>
    <w:rsid w:val="00272897"/>
    <w:rsid w:val="00272909"/>
    <w:rsid w:val="00273084"/>
    <w:rsid w:val="0027339B"/>
    <w:rsid w:val="00273E5E"/>
    <w:rsid w:val="002740A0"/>
    <w:rsid w:val="002745C9"/>
    <w:rsid w:val="002748A3"/>
    <w:rsid w:val="00274C72"/>
    <w:rsid w:val="00275234"/>
    <w:rsid w:val="0027661E"/>
    <w:rsid w:val="00276A7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DA6"/>
    <w:rsid w:val="00287433"/>
    <w:rsid w:val="00287459"/>
    <w:rsid w:val="00287469"/>
    <w:rsid w:val="0028794E"/>
    <w:rsid w:val="00287E65"/>
    <w:rsid w:val="00287EA5"/>
    <w:rsid w:val="00290595"/>
    <w:rsid w:val="00290B54"/>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F88"/>
    <w:rsid w:val="002A2264"/>
    <w:rsid w:val="002A2742"/>
    <w:rsid w:val="002A2B3A"/>
    <w:rsid w:val="002A3026"/>
    <w:rsid w:val="002A32BF"/>
    <w:rsid w:val="002A3F3B"/>
    <w:rsid w:val="002A5B20"/>
    <w:rsid w:val="002A604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22EC"/>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6FC9"/>
    <w:rsid w:val="002C7ACB"/>
    <w:rsid w:val="002C7DB9"/>
    <w:rsid w:val="002D0503"/>
    <w:rsid w:val="002D071C"/>
    <w:rsid w:val="002D146E"/>
    <w:rsid w:val="002D15B0"/>
    <w:rsid w:val="002D1C71"/>
    <w:rsid w:val="002D1D1E"/>
    <w:rsid w:val="002D2785"/>
    <w:rsid w:val="002D2F22"/>
    <w:rsid w:val="002D2FCA"/>
    <w:rsid w:val="002D3788"/>
    <w:rsid w:val="002D3A7F"/>
    <w:rsid w:val="002D3B4B"/>
    <w:rsid w:val="002D3FF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527"/>
    <w:rsid w:val="002E198C"/>
    <w:rsid w:val="002E1AB4"/>
    <w:rsid w:val="002E223E"/>
    <w:rsid w:val="002E2E1A"/>
    <w:rsid w:val="002E2E7C"/>
    <w:rsid w:val="002E33FC"/>
    <w:rsid w:val="002E37A5"/>
    <w:rsid w:val="002E3F3A"/>
    <w:rsid w:val="002E3F3B"/>
    <w:rsid w:val="002E3F8B"/>
    <w:rsid w:val="002E4E79"/>
    <w:rsid w:val="002E528B"/>
    <w:rsid w:val="002E52F7"/>
    <w:rsid w:val="002E5A4C"/>
    <w:rsid w:val="002E5AAA"/>
    <w:rsid w:val="002E5B24"/>
    <w:rsid w:val="002E602C"/>
    <w:rsid w:val="002E60B0"/>
    <w:rsid w:val="002E658A"/>
    <w:rsid w:val="002E6F00"/>
    <w:rsid w:val="002E716C"/>
    <w:rsid w:val="002E7DAB"/>
    <w:rsid w:val="002F0093"/>
    <w:rsid w:val="002F0793"/>
    <w:rsid w:val="002F0D70"/>
    <w:rsid w:val="002F1159"/>
    <w:rsid w:val="002F1431"/>
    <w:rsid w:val="002F16A6"/>
    <w:rsid w:val="002F1EF6"/>
    <w:rsid w:val="002F228C"/>
    <w:rsid w:val="002F2325"/>
    <w:rsid w:val="002F2736"/>
    <w:rsid w:val="002F27DE"/>
    <w:rsid w:val="002F29D6"/>
    <w:rsid w:val="002F3928"/>
    <w:rsid w:val="002F3972"/>
    <w:rsid w:val="002F3BBB"/>
    <w:rsid w:val="002F473E"/>
    <w:rsid w:val="002F4777"/>
    <w:rsid w:val="002F4A1B"/>
    <w:rsid w:val="002F5142"/>
    <w:rsid w:val="002F53B2"/>
    <w:rsid w:val="002F57E8"/>
    <w:rsid w:val="002F5AC8"/>
    <w:rsid w:val="002F6240"/>
    <w:rsid w:val="002F62DE"/>
    <w:rsid w:val="002F6B54"/>
    <w:rsid w:val="002F7DF0"/>
    <w:rsid w:val="003002FF"/>
    <w:rsid w:val="00300F76"/>
    <w:rsid w:val="00301385"/>
    <w:rsid w:val="00301561"/>
    <w:rsid w:val="00301B1C"/>
    <w:rsid w:val="00302045"/>
    <w:rsid w:val="00303433"/>
    <w:rsid w:val="00303D89"/>
    <w:rsid w:val="00304C21"/>
    <w:rsid w:val="0030573C"/>
    <w:rsid w:val="0030591D"/>
    <w:rsid w:val="00305982"/>
    <w:rsid w:val="00305B8C"/>
    <w:rsid w:val="00305DD8"/>
    <w:rsid w:val="00306D01"/>
    <w:rsid w:val="00307637"/>
    <w:rsid w:val="0030792E"/>
    <w:rsid w:val="00307E3C"/>
    <w:rsid w:val="00310391"/>
    <w:rsid w:val="0031058B"/>
    <w:rsid w:val="00311383"/>
    <w:rsid w:val="00311415"/>
    <w:rsid w:val="003116BC"/>
    <w:rsid w:val="003122A0"/>
    <w:rsid w:val="003129E1"/>
    <w:rsid w:val="003132BA"/>
    <w:rsid w:val="003139F2"/>
    <w:rsid w:val="00313B3E"/>
    <w:rsid w:val="00314095"/>
    <w:rsid w:val="003145A2"/>
    <w:rsid w:val="00314FD4"/>
    <w:rsid w:val="0031515B"/>
    <w:rsid w:val="003154EC"/>
    <w:rsid w:val="003155D0"/>
    <w:rsid w:val="00315702"/>
    <w:rsid w:val="0031596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29"/>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879"/>
    <w:rsid w:val="00333EA2"/>
    <w:rsid w:val="003347AA"/>
    <w:rsid w:val="00334DDE"/>
    <w:rsid w:val="0033519E"/>
    <w:rsid w:val="00335772"/>
    <w:rsid w:val="0033590B"/>
    <w:rsid w:val="00335CA4"/>
    <w:rsid w:val="00335FDB"/>
    <w:rsid w:val="00336034"/>
    <w:rsid w:val="00336539"/>
    <w:rsid w:val="00336EFA"/>
    <w:rsid w:val="00336FB8"/>
    <w:rsid w:val="003371FB"/>
    <w:rsid w:val="0033720E"/>
    <w:rsid w:val="003377EF"/>
    <w:rsid w:val="00337843"/>
    <w:rsid w:val="00337A25"/>
    <w:rsid w:val="00337CB2"/>
    <w:rsid w:val="003401AA"/>
    <w:rsid w:val="00340314"/>
    <w:rsid w:val="00341688"/>
    <w:rsid w:val="003425B6"/>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650"/>
    <w:rsid w:val="00352B69"/>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3E9"/>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211"/>
    <w:rsid w:val="003678A5"/>
    <w:rsid w:val="00367CBA"/>
    <w:rsid w:val="0037044A"/>
    <w:rsid w:val="00370545"/>
    <w:rsid w:val="003708F8"/>
    <w:rsid w:val="00370F2A"/>
    <w:rsid w:val="003710C5"/>
    <w:rsid w:val="003710CF"/>
    <w:rsid w:val="003713A1"/>
    <w:rsid w:val="003716CD"/>
    <w:rsid w:val="003719CD"/>
    <w:rsid w:val="00371BC2"/>
    <w:rsid w:val="00371EDE"/>
    <w:rsid w:val="0037209F"/>
    <w:rsid w:val="00372B09"/>
    <w:rsid w:val="00372E4D"/>
    <w:rsid w:val="003734DE"/>
    <w:rsid w:val="00373ED3"/>
    <w:rsid w:val="003740B2"/>
    <w:rsid w:val="00374462"/>
    <w:rsid w:val="003744CD"/>
    <w:rsid w:val="00374540"/>
    <w:rsid w:val="0037550D"/>
    <w:rsid w:val="00375E85"/>
    <w:rsid w:val="00376109"/>
    <w:rsid w:val="0037632C"/>
    <w:rsid w:val="00376419"/>
    <w:rsid w:val="00376FBB"/>
    <w:rsid w:val="003777F7"/>
    <w:rsid w:val="00380FBF"/>
    <w:rsid w:val="003814C8"/>
    <w:rsid w:val="003815D5"/>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805"/>
    <w:rsid w:val="00386903"/>
    <w:rsid w:val="00386DD2"/>
    <w:rsid w:val="00386EC8"/>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572"/>
    <w:rsid w:val="003C173A"/>
    <w:rsid w:val="003C1945"/>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FA9"/>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480"/>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53D"/>
    <w:rsid w:val="003E594A"/>
    <w:rsid w:val="003E5BA5"/>
    <w:rsid w:val="003E5E22"/>
    <w:rsid w:val="003E64BF"/>
    <w:rsid w:val="003E695D"/>
    <w:rsid w:val="003E7132"/>
    <w:rsid w:val="003E73E0"/>
    <w:rsid w:val="003E751C"/>
    <w:rsid w:val="003E7CB0"/>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D6"/>
    <w:rsid w:val="004149FF"/>
    <w:rsid w:val="0041511B"/>
    <w:rsid w:val="00415245"/>
    <w:rsid w:val="00415CCA"/>
    <w:rsid w:val="00416506"/>
    <w:rsid w:val="0041665E"/>
    <w:rsid w:val="004167FC"/>
    <w:rsid w:val="00417040"/>
    <w:rsid w:val="00417105"/>
    <w:rsid w:val="00417110"/>
    <w:rsid w:val="00417247"/>
    <w:rsid w:val="00417518"/>
    <w:rsid w:val="00417A61"/>
    <w:rsid w:val="00417ED2"/>
    <w:rsid w:val="00420DC5"/>
    <w:rsid w:val="004218B7"/>
    <w:rsid w:val="004221D5"/>
    <w:rsid w:val="00422219"/>
    <w:rsid w:val="004228F9"/>
    <w:rsid w:val="00422989"/>
    <w:rsid w:val="00422B0D"/>
    <w:rsid w:val="00423B26"/>
    <w:rsid w:val="00423F42"/>
    <w:rsid w:val="0042436C"/>
    <w:rsid w:val="004244F9"/>
    <w:rsid w:val="0042457E"/>
    <w:rsid w:val="00424BA2"/>
    <w:rsid w:val="004255FF"/>
    <w:rsid w:val="00425BC5"/>
    <w:rsid w:val="00425C19"/>
    <w:rsid w:val="00425D4D"/>
    <w:rsid w:val="00425FE2"/>
    <w:rsid w:val="004260BE"/>
    <w:rsid w:val="004261A3"/>
    <w:rsid w:val="004274B1"/>
    <w:rsid w:val="00427B4B"/>
    <w:rsid w:val="004303C3"/>
    <w:rsid w:val="0043093C"/>
    <w:rsid w:val="00430BC4"/>
    <w:rsid w:val="004311F0"/>
    <w:rsid w:val="0043135C"/>
    <w:rsid w:val="004317CE"/>
    <w:rsid w:val="00432146"/>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771"/>
    <w:rsid w:val="0045587C"/>
    <w:rsid w:val="00455A9D"/>
    <w:rsid w:val="00455D49"/>
    <w:rsid w:val="00456D59"/>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6C8B"/>
    <w:rsid w:val="004670A3"/>
    <w:rsid w:val="00467F58"/>
    <w:rsid w:val="00467F9A"/>
    <w:rsid w:val="00470C50"/>
    <w:rsid w:val="00471248"/>
    <w:rsid w:val="00471363"/>
    <w:rsid w:val="004717F9"/>
    <w:rsid w:val="00471A4E"/>
    <w:rsid w:val="00471FAC"/>
    <w:rsid w:val="004722C8"/>
    <w:rsid w:val="00472DB9"/>
    <w:rsid w:val="00473266"/>
    <w:rsid w:val="00473BCE"/>
    <w:rsid w:val="00474560"/>
    <w:rsid w:val="00474896"/>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4AC"/>
    <w:rsid w:val="00482577"/>
    <w:rsid w:val="004825BB"/>
    <w:rsid w:val="00482B8D"/>
    <w:rsid w:val="0048311D"/>
    <w:rsid w:val="0048364F"/>
    <w:rsid w:val="004841C6"/>
    <w:rsid w:val="00484911"/>
    <w:rsid w:val="00484B29"/>
    <w:rsid w:val="00484CF3"/>
    <w:rsid w:val="004862A6"/>
    <w:rsid w:val="004867EC"/>
    <w:rsid w:val="00486F30"/>
    <w:rsid w:val="004874F3"/>
    <w:rsid w:val="00487845"/>
    <w:rsid w:val="00487E42"/>
    <w:rsid w:val="004902E9"/>
    <w:rsid w:val="00490480"/>
    <w:rsid w:val="0049049B"/>
    <w:rsid w:val="00491048"/>
    <w:rsid w:val="0049105C"/>
    <w:rsid w:val="0049143F"/>
    <w:rsid w:val="00491C2D"/>
    <w:rsid w:val="0049232C"/>
    <w:rsid w:val="004923ED"/>
    <w:rsid w:val="004927CA"/>
    <w:rsid w:val="00493C07"/>
    <w:rsid w:val="00493C09"/>
    <w:rsid w:val="004943E6"/>
    <w:rsid w:val="004958FA"/>
    <w:rsid w:val="00495C99"/>
    <w:rsid w:val="00495D8F"/>
    <w:rsid w:val="00495DC1"/>
    <w:rsid w:val="004961FB"/>
    <w:rsid w:val="0049638E"/>
    <w:rsid w:val="00496654"/>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6A42"/>
    <w:rsid w:val="004A6C9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CBD"/>
    <w:rsid w:val="004B3DCA"/>
    <w:rsid w:val="004B5713"/>
    <w:rsid w:val="004B5826"/>
    <w:rsid w:val="004B5A37"/>
    <w:rsid w:val="004B5BCD"/>
    <w:rsid w:val="004B62E7"/>
    <w:rsid w:val="004B67EC"/>
    <w:rsid w:val="004B69D5"/>
    <w:rsid w:val="004B6B19"/>
    <w:rsid w:val="004B7882"/>
    <w:rsid w:val="004B7F6C"/>
    <w:rsid w:val="004C014A"/>
    <w:rsid w:val="004C046D"/>
    <w:rsid w:val="004C0DEF"/>
    <w:rsid w:val="004C0EA2"/>
    <w:rsid w:val="004C12E0"/>
    <w:rsid w:val="004C152F"/>
    <w:rsid w:val="004C1930"/>
    <w:rsid w:val="004C1DA7"/>
    <w:rsid w:val="004C20BE"/>
    <w:rsid w:val="004C249A"/>
    <w:rsid w:val="004C2CFA"/>
    <w:rsid w:val="004C3263"/>
    <w:rsid w:val="004C3B23"/>
    <w:rsid w:val="004C3BFD"/>
    <w:rsid w:val="004C3F56"/>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D786F"/>
    <w:rsid w:val="004E003C"/>
    <w:rsid w:val="004E03ED"/>
    <w:rsid w:val="004E0540"/>
    <w:rsid w:val="004E0607"/>
    <w:rsid w:val="004E089D"/>
    <w:rsid w:val="004E0AE3"/>
    <w:rsid w:val="004E1019"/>
    <w:rsid w:val="004E118B"/>
    <w:rsid w:val="004E1394"/>
    <w:rsid w:val="004E1BEA"/>
    <w:rsid w:val="004E22C1"/>
    <w:rsid w:val="004E39E9"/>
    <w:rsid w:val="004E4491"/>
    <w:rsid w:val="004E4F7E"/>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4F7FAF"/>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AF7"/>
    <w:rsid w:val="00514C72"/>
    <w:rsid w:val="00515374"/>
    <w:rsid w:val="00515B10"/>
    <w:rsid w:val="00516384"/>
    <w:rsid w:val="00516813"/>
    <w:rsid w:val="005169D1"/>
    <w:rsid w:val="00516A13"/>
    <w:rsid w:val="00516B47"/>
    <w:rsid w:val="00517956"/>
    <w:rsid w:val="00517C19"/>
    <w:rsid w:val="00517D9B"/>
    <w:rsid w:val="00517E2B"/>
    <w:rsid w:val="00517E3A"/>
    <w:rsid w:val="00520363"/>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6F2"/>
    <w:rsid w:val="00545FB0"/>
    <w:rsid w:val="00546515"/>
    <w:rsid w:val="00546F28"/>
    <w:rsid w:val="00546F86"/>
    <w:rsid w:val="00547516"/>
    <w:rsid w:val="00547ACD"/>
    <w:rsid w:val="00547FDC"/>
    <w:rsid w:val="00550011"/>
    <w:rsid w:val="00550114"/>
    <w:rsid w:val="00550A31"/>
    <w:rsid w:val="00550EF7"/>
    <w:rsid w:val="005513E9"/>
    <w:rsid w:val="00551AE9"/>
    <w:rsid w:val="00551D9F"/>
    <w:rsid w:val="00552066"/>
    <w:rsid w:val="0055231B"/>
    <w:rsid w:val="005530D0"/>
    <w:rsid w:val="00554220"/>
    <w:rsid w:val="00554672"/>
    <w:rsid w:val="00555145"/>
    <w:rsid w:val="005560E9"/>
    <w:rsid w:val="0055632C"/>
    <w:rsid w:val="005569C3"/>
    <w:rsid w:val="00556B5E"/>
    <w:rsid w:val="0055745C"/>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563"/>
    <w:rsid w:val="00562A56"/>
    <w:rsid w:val="00562CBA"/>
    <w:rsid w:val="00562DFF"/>
    <w:rsid w:val="00562E23"/>
    <w:rsid w:val="00563203"/>
    <w:rsid w:val="005641B7"/>
    <w:rsid w:val="0056447D"/>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C88"/>
    <w:rsid w:val="00570DDB"/>
    <w:rsid w:val="00571348"/>
    <w:rsid w:val="00571C4F"/>
    <w:rsid w:val="00571C63"/>
    <w:rsid w:val="00571DC2"/>
    <w:rsid w:val="005725EF"/>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519"/>
    <w:rsid w:val="005818F0"/>
    <w:rsid w:val="00581A24"/>
    <w:rsid w:val="00581A3C"/>
    <w:rsid w:val="005828AF"/>
    <w:rsid w:val="00582CD6"/>
    <w:rsid w:val="00583125"/>
    <w:rsid w:val="00583FBD"/>
    <w:rsid w:val="00584812"/>
    <w:rsid w:val="00584F80"/>
    <w:rsid w:val="005851FC"/>
    <w:rsid w:val="00585388"/>
    <w:rsid w:val="005858AD"/>
    <w:rsid w:val="00585A50"/>
    <w:rsid w:val="005866D0"/>
    <w:rsid w:val="00586A0A"/>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9A4"/>
    <w:rsid w:val="00596C5A"/>
    <w:rsid w:val="00596D74"/>
    <w:rsid w:val="00596FE5"/>
    <w:rsid w:val="005970C8"/>
    <w:rsid w:val="005A1102"/>
    <w:rsid w:val="005A1E4A"/>
    <w:rsid w:val="005A2EC4"/>
    <w:rsid w:val="005A33A8"/>
    <w:rsid w:val="005A3835"/>
    <w:rsid w:val="005A3FC1"/>
    <w:rsid w:val="005A4155"/>
    <w:rsid w:val="005A41F5"/>
    <w:rsid w:val="005A424E"/>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3159"/>
    <w:rsid w:val="005B412E"/>
    <w:rsid w:val="005B48F2"/>
    <w:rsid w:val="005B4F82"/>
    <w:rsid w:val="005B5E55"/>
    <w:rsid w:val="005B6BB0"/>
    <w:rsid w:val="005B6D12"/>
    <w:rsid w:val="005B7533"/>
    <w:rsid w:val="005B753B"/>
    <w:rsid w:val="005B7C6D"/>
    <w:rsid w:val="005C0251"/>
    <w:rsid w:val="005C028B"/>
    <w:rsid w:val="005C0678"/>
    <w:rsid w:val="005C0894"/>
    <w:rsid w:val="005C0A2F"/>
    <w:rsid w:val="005C0D84"/>
    <w:rsid w:val="005C162F"/>
    <w:rsid w:val="005C1EBB"/>
    <w:rsid w:val="005C21A5"/>
    <w:rsid w:val="005C22D4"/>
    <w:rsid w:val="005C2658"/>
    <w:rsid w:val="005C371C"/>
    <w:rsid w:val="005C3E54"/>
    <w:rsid w:val="005C478F"/>
    <w:rsid w:val="005C4C1A"/>
    <w:rsid w:val="005C5609"/>
    <w:rsid w:val="005C566E"/>
    <w:rsid w:val="005C5DB3"/>
    <w:rsid w:val="005C630F"/>
    <w:rsid w:val="005C6D08"/>
    <w:rsid w:val="005C7A9D"/>
    <w:rsid w:val="005C7D67"/>
    <w:rsid w:val="005C7D92"/>
    <w:rsid w:val="005D17C2"/>
    <w:rsid w:val="005D1C24"/>
    <w:rsid w:val="005D21F6"/>
    <w:rsid w:val="005D2575"/>
    <w:rsid w:val="005D357A"/>
    <w:rsid w:val="005D3BD2"/>
    <w:rsid w:val="005D443E"/>
    <w:rsid w:val="005D44D7"/>
    <w:rsid w:val="005D4846"/>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2C95"/>
    <w:rsid w:val="005E3AD1"/>
    <w:rsid w:val="005E412D"/>
    <w:rsid w:val="005E417B"/>
    <w:rsid w:val="005E4418"/>
    <w:rsid w:val="005E46FC"/>
    <w:rsid w:val="005E48ED"/>
    <w:rsid w:val="005E53A1"/>
    <w:rsid w:val="005E54D6"/>
    <w:rsid w:val="005E570A"/>
    <w:rsid w:val="005E58C9"/>
    <w:rsid w:val="005E63A1"/>
    <w:rsid w:val="005E6680"/>
    <w:rsid w:val="005E6AE5"/>
    <w:rsid w:val="005E7271"/>
    <w:rsid w:val="005E78C1"/>
    <w:rsid w:val="005E793E"/>
    <w:rsid w:val="005E7B1B"/>
    <w:rsid w:val="005E7F79"/>
    <w:rsid w:val="005F07F8"/>
    <w:rsid w:val="005F1103"/>
    <w:rsid w:val="005F152D"/>
    <w:rsid w:val="005F1689"/>
    <w:rsid w:val="005F1830"/>
    <w:rsid w:val="005F1967"/>
    <w:rsid w:val="005F1FDA"/>
    <w:rsid w:val="005F270E"/>
    <w:rsid w:val="005F2BD0"/>
    <w:rsid w:val="005F2F82"/>
    <w:rsid w:val="005F3A43"/>
    <w:rsid w:val="005F3D75"/>
    <w:rsid w:val="005F4245"/>
    <w:rsid w:val="005F45F2"/>
    <w:rsid w:val="005F4F09"/>
    <w:rsid w:val="005F538C"/>
    <w:rsid w:val="005F587C"/>
    <w:rsid w:val="005F5A20"/>
    <w:rsid w:val="005F5E3D"/>
    <w:rsid w:val="005F5E98"/>
    <w:rsid w:val="005F63A0"/>
    <w:rsid w:val="005F6EE0"/>
    <w:rsid w:val="005F7A73"/>
    <w:rsid w:val="005F7FCA"/>
    <w:rsid w:val="006000F2"/>
    <w:rsid w:val="006003A7"/>
    <w:rsid w:val="006003CD"/>
    <w:rsid w:val="006007E4"/>
    <w:rsid w:val="006008B6"/>
    <w:rsid w:val="00600FE2"/>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5D90"/>
    <w:rsid w:val="006063B5"/>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2F9C"/>
    <w:rsid w:val="006135E5"/>
    <w:rsid w:val="00613D91"/>
    <w:rsid w:val="00614DC4"/>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2BBF"/>
    <w:rsid w:val="00623366"/>
    <w:rsid w:val="00623434"/>
    <w:rsid w:val="00623636"/>
    <w:rsid w:val="006237A1"/>
    <w:rsid w:val="00623891"/>
    <w:rsid w:val="00623B1B"/>
    <w:rsid w:val="00624AFB"/>
    <w:rsid w:val="00624B90"/>
    <w:rsid w:val="00624E07"/>
    <w:rsid w:val="00624E0D"/>
    <w:rsid w:val="006259E2"/>
    <w:rsid w:val="00625D32"/>
    <w:rsid w:val="00625E84"/>
    <w:rsid w:val="00626839"/>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2DC"/>
    <w:rsid w:val="0063692D"/>
    <w:rsid w:val="00636F62"/>
    <w:rsid w:val="00637384"/>
    <w:rsid w:val="00637728"/>
    <w:rsid w:val="006378E6"/>
    <w:rsid w:val="00637A44"/>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B9B"/>
    <w:rsid w:val="00645F69"/>
    <w:rsid w:val="0064614F"/>
    <w:rsid w:val="0064629A"/>
    <w:rsid w:val="00646BAF"/>
    <w:rsid w:val="00646BC6"/>
    <w:rsid w:val="00646D30"/>
    <w:rsid w:val="00646EED"/>
    <w:rsid w:val="0065099D"/>
    <w:rsid w:val="00650F4C"/>
    <w:rsid w:val="0065175B"/>
    <w:rsid w:val="006517B5"/>
    <w:rsid w:val="006517F0"/>
    <w:rsid w:val="006520F9"/>
    <w:rsid w:val="006522DF"/>
    <w:rsid w:val="0065253E"/>
    <w:rsid w:val="00653646"/>
    <w:rsid w:val="0065442F"/>
    <w:rsid w:val="0065450F"/>
    <w:rsid w:val="0065464C"/>
    <w:rsid w:val="006554C2"/>
    <w:rsid w:val="00655C86"/>
    <w:rsid w:val="00655FF1"/>
    <w:rsid w:val="006563D3"/>
    <w:rsid w:val="006569F1"/>
    <w:rsid w:val="00656D25"/>
    <w:rsid w:val="00657219"/>
    <w:rsid w:val="00657B56"/>
    <w:rsid w:val="00657CF5"/>
    <w:rsid w:val="00657DB9"/>
    <w:rsid w:val="0066015E"/>
    <w:rsid w:val="00660ADB"/>
    <w:rsid w:val="0066111E"/>
    <w:rsid w:val="00661340"/>
    <w:rsid w:val="006613DD"/>
    <w:rsid w:val="0066162D"/>
    <w:rsid w:val="00661795"/>
    <w:rsid w:val="00661F88"/>
    <w:rsid w:val="00662262"/>
    <w:rsid w:val="00662514"/>
    <w:rsid w:val="00663133"/>
    <w:rsid w:val="00663697"/>
    <w:rsid w:val="00663742"/>
    <w:rsid w:val="00663747"/>
    <w:rsid w:val="00664064"/>
    <w:rsid w:val="006640A7"/>
    <w:rsid w:val="00664257"/>
    <w:rsid w:val="0066462F"/>
    <w:rsid w:val="006646D8"/>
    <w:rsid w:val="0066537E"/>
    <w:rsid w:val="006656CF"/>
    <w:rsid w:val="0066571C"/>
    <w:rsid w:val="00665819"/>
    <w:rsid w:val="0066588F"/>
    <w:rsid w:val="006659A0"/>
    <w:rsid w:val="00665BAA"/>
    <w:rsid w:val="00665DD5"/>
    <w:rsid w:val="006674F4"/>
    <w:rsid w:val="006713E6"/>
    <w:rsid w:val="0067180F"/>
    <w:rsid w:val="00671B34"/>
    <w:rsid w:val="0067231C"/>
    <w:rsid w:val="00672C86"/>
    <w:rsid w:val="006732CA"/>
    <w:rsid w:val="00673340"/>
    <w:rsid w:val="00673F03"/>
    <w:rsid w:val="00674A09"/>
    <w:rsid w:val="00674D1D"/>
    <w:rsid w:val="0067547A"/>
    <w:rsid w:val="0067589B"/>
    <w:rsid w:val="00675C7A"/>
    <w:rsid w:val="00676606"/>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34C"/>
    <w:rsid w:val="006856B4"/>
    <w:rsid w:val="00685875"/>
    <w:rsid w:val="00686998"/>
    <w:rsid w:val="00687099"/>
    <w:rsid w:val="00687965"/>
    <w:rsid w:val="00687C6A"/>
    <w:rsid w:val="00687CB2"/>
    <w:rsid w:val="00691811"/>
    <w:rsid w:val="00691887"/>
    <w:rsid w:val="00691FC3"/>
    <w:rsid w:val="006923AD"/>
    <w:rsid w:val="00692F53"/>
    <w:rsid w:val="00693117"/>
    <w:rsid w:val="0069465D"/>
    <w:rsid w:val="00694E88"/>
    <w:rsid w:val="006950E7"/>
    <w:rsid w:val="006957BB"/>
    <w:rsid w:val="00695FD2"/>
    <w:rsid w:val="006965DA"/>
    <w:rsid w:val="00696F1E"/>
    <w:rsid w:val="00697742"/>
    <w:rsid w:val="00697F63"/>
    <w:rsid w:val="006A0462"/>
    <w:rsid w:val="006A0AF4"/>
    <w:rsid w:val="006A0EF8"/>
    <w:rsid w:val="006A18FE"/>
    <w:rsid w:val="006A23A6"/>
    <w:rsid w:val="006A2451"/>
    <w:rsid w:val="006A2DFD"/>
    <w:rsid w:val="006A3285"/>
    <w:rsid w:val="006A3564"/>
    <w:rsid w:val="006A39AA"/>
    <w:rsid w:val="006A3A0D"/>
    <w:rsid w:val="006A47BD"/>
    <w:rsid w:val="006A4984"/>
    <w:rsid w:val="006A5058"/>
    <w:rsid w:val="006A565C"/>
    <w:rsid w:val="006A5D41"/>
    <w:rsid w:val="006A5FBE"/>
    <w:rsid w:val="006A6358"/>
    <w:rsid w:val="006A6ADD"/>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5B72"/>
    <w:rsid w:val="006C6066"/>
    <w:rsid w:val="006C69A9"/>
    <w:rsid w:val="006C6C3B"/>
    <w:rsid w:val="006C748F"/>
    <w:rsid w:val="006C75F3"/>
    <w:rsid w:val="006C7A38"/>
    <w:rsid w:val="006C7AD8"/>
    <w:rsid w:val="006C7FD5"/>
    <w:rsid w:val="006D061D"/>
    <w:rsid w:val="006D0839"/>
    <w:rsid w:val="006D0A88"/>
    <w:rsid w:val="006D0E27"/>
    <w:rsid w:val="006D0F6D"/>
    <w:rsid w:val="006D1249"/>
    <w:rsid w:val="006D1339"/>
    <w:rsid w:val="006D14E2"/>
    <w:rsid w:val="006D16DC"/>
    <w:rsid w:val="006D182F"/>
    <w:rsid w:val="006D1A43"/>
    <w:rsid w:val="006D1E5A"/>
    <w:rsid w:val="006D2431"/>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34E"/>
    <w:rsid w:val="006E143F"/>
    <w:rsid w:val="006E14E2"/>
    <w:rsid w:val="006E2065"/>
    <w:rsid w:val="006E2844"/>
    <w:rsid w:val="006E3299"/>
    <w:rsid w:val="006E365A"/>
    <w:rsid w:val="006E407D"/>
    <w:rsid w:val="006E409E"/>
    <w:rsid w:val="006E443D"/>
    <w:rsid w:val="006E4A4B"/>
    <w:rsid w:val="006E5672"/>
    <w:rsid w:val="006E5826"/>
    <w:rsid w:val="006E5F82"/>
    <w:rsid w:val="006E71BF"/>
    <w:rsid w:val="006E725C"/>
    <w:rsid w:val="006E7583"/>
    <w:rsid w:val="006E763E"/>
    <w:rsid w:val="006E7B14"/>
    <w:rsid w:val="006E7B9F"/>
    <w:rsid w:val="006E7EF6"/>
    <w:rsid w:val="006E7F17"/>
    <w:rsid w:val="006F00D0"/>
    <w:rsid w:val="006F03AC"/>
    <w:rsid w:val="006F161F"/>
    <w:rsid w:val="006F1B95"/>
    <w:rsid w:val="006F244F"/>
    <w:rsid w:val="006F27E7"/>
    <w:rsid w:val="006F2DA9"/>
    <w:rsid w:val="006F2F25"/>
    <w:rsid w:val="006F304A"/>
    <w:rsid w:val="006F30A8"/>
    <w:rsid w:val="006F34EB"/>
    <w:rsid w:val="006F36BD"/>
    <w:rsid w:val="006F3782"/>
    <w:rsid w:val="006F37F4"/>
    <w:rsid w:val="006F4168"/>
    <w:rsid w:val="006F4397"/>
    <w:rsid w:val="006F448B"/>
    <w:rsid w:val="006F4580"/>
    <w:rsid w:val="006F48CD"/>
    <w:rsid w:val="006F491F"/>
    <w:rsid w:val="006F4E39"/>
    <w:rsid w:val="006F53FD"/>
    <w:rsid w:val="006F564A"/>
    <w:rsid w:val="006F6656"/>
    <w:rsid w:val="006F6D48"/>
    <w:rsid w:val="006F7159"/>
    <w:rsid w:val="006F718D"/>
    <w:rsid w:val="006F7439"/>
    <w:rsid w:val="006F7588"/>
    <w:rsid w:val="006F7C22"/>
    <w:rsid w:val="006F7D97"/>
    <w:rsid w:val="0070020E"/>
    <w:rsid w:val="0070033E"/>
    <w:rsid w:val="00700710"/>
    <w:rsid w:val="00701D19"/>
    <w:rsid w:val="00702284"/>
    <w:rsid w:val="00702754"/>
    <w:rsid w:val="00702997"/>
    <w:rsid w:val="007035CC"/>
    <w:rsid w:val="007035D0"/>
    <w:rsid w:val="0070370A"/>
    <w:rsid w:val="007039D6"/>
    <w:rsid w:val="00705E1B"/>
    <w:rsid w:val="0070661A"/>
    <w:rsid w:val="00706974"/>
    <w:rsid w:val="00707302"/>
    <w:rsid w:val="0070776D"/>
    <w:rsid w:val="00707B29"/>
    <w:rsid w:val="007101AF"/>
    <w:rsid w:val="00710927"/>
    <w:rsid w:val="00710BC0"/>
    <w:rsid w:val="00710DF5"/>
    <w:rsid w:val="00710F2A"/>
    <w:rsid w:val="0071112A"/>
    <w:rsid w:val="0071152B"/>
    <w:rsid w:val="0071161B"/>
    <w:rsid w:val="0071174D"/>
    <w:rsid w:val="007118EA"/>
    <w:rsid w:val="0071281C"/>
    <w:rsid w:val="00713805"/>
    <w:rsid w:val="00713B48"/>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1F88"/>
    <w:rsid w:val="007220C1"/>
    <w:rsid w:val="00722639"/>
    <w:rsid w:val="00722748"/>
    <w:rsid w:val="00722836"/>
    <w:rsid w:val="0072285E"/>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3BDF"/>
    <w:rsid w:val="007344D5"/>
    <w:rsid w:val="007349CB"/>
    <w:rsid w:val="00734FAA"/>
    <w:rsid w:val="00735128"/>
    <w:rsid w:val="007352D3"/>
    <w:rsid w:val="0073567E"/>
    <w:rsid w:val="007357D0"/>
    <w:rsid w:val="007368BA"/>
    <w:rsid w:val="00736BE8"/>
    <w:rsid w:val="007370C3"/>
    <w:rsid w:val="0073771E"/>
    <w:rsid w:val="00737A79"/>
    <w:rsid w:val="00737DBB"/>
    <w:rsid w:val="00740335"/>
    <w:rsid w:val="007406BC"/>
    <w:rsid w:val="00741047"/>
    <w:rsid w:val="00741252"/>
    <w:rsid w:val="0074138B"/>
    <w:rsid w:val="007424B0"/>
    <w:rsid w:val="00742EF7"/>
    <w:rsid w:val="0074307A"/>
    <w:rsid w:val="0074414D"/>
    <w:rsid w:val="007447A8"/>
    <w:rsid w:val="007447C7"/>
    <w:rsid w:val="0074486D"/>
    <w:rsid w:val="00744AE3"/>
    <w:rsid w:val="00744B73"/>
    <w:rsid w:val="00745259"/>
    <w:rsid w:val="007453AB"/>
    <w:rsid w:val="007459A9"/>
    <w:rsid w:val="00746070"/>
    <w:rsid w:val="00746197"/>
    <w:rsid w:val="00746A2A"/>
    <w:rsid w:val="00746E65"/>
    <w:rsid w:val="00746EF4"/>
    <w:rsid w:val="00747212"/>
    <w:rsid w:val="007472FD"/>
    <w:rsid w:val="0074740E"/>
    <w:rsid w:val="00747488"/>
    <w:rsid w:val="007475E5"/>
    <w:rsid w:val="00747694"/>
    <w:rsid w:val="0074774F"/>
    <w:rsid w:val="00747752"/>
    <w:rsid w:val="00747BE5"/>
    <w:rsid w:val="00750390"/>
    <w:rsid w:val="00750DB5"/>
    <w:rsid w:val="007513B6"/>
    <w:rsid w:val="00751F5B"/>
    <w:rsid w:val="0075243B"/>
    <w:rsid w:val="00753367"/>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613"/>
    <w:rsid w:val="00757D56"/>
    <w:rsid w:val="00760459"/>
    <w:rsid w:val="007606EA"/>
    <w:rsid w:val="007607B2"/>
    <w:rsid w:val="00760CB1"/>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36D"/>
    <w:rsid w:val="007677F9"/>
    <w:rsid w:val="0076791A"/>
    <w:rsid w:val="00767C1F"/>
    <w:rsid w:val="00767C2D"/>
    <w:rsid w:val="00770278"/>
    <w:rsid w:val="00770582"/>
    <w:rsid w:val="00770799"/>
    <w:rsid w:val="00770B7D"/>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8B5"/>
    <w:rsid w:val="00776AD7"/>
    <w:rsid w:val="00776C1C"/>
    <w:rsid w:val="00777E2D"/>
    <w:rsid w:val="007813A7"/>
    <w:rsid w:val="007815D1"/>
    <w:rsid w:val="00781AE7"/>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E55"/>
    <w:rsid w:val="007B21A9"/>
    <w:rsid w:val="007B238E"/>
    <w:rsid w:val="007B23A3"/>
    <w:rsid w:val="007B27F2"/>
    <w:rsid w:val="007B2D45"/>
    <w:rsid w:val="007B3427"/>
    <w:rsid w:val="007B465C"/>
    <w:rsid w:val="007B46ED"/>
    <w:rsid w:val="007B4C9B"/>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528"/>
    <w:rsid w:val="007C46E6"/>
    <w:rsid w:val="007C4887"/>
    <w:rsid w:val="007C48EE"/>
    <w:rsid w:val="007C4C9B"/>
    <w:rsid w:val="007C4E62"/>
    <w:rsid w:val="007C5B96"/>
    <w:rsid w:val="007C5DD2"/>
    <w:rsid w:val="007C6046"/>
    <w:rsid w:val="007C67B8"/>
    <w:rsid w:val="007C6AAA"/>
    <w:rsid w:val="007C6F42"/>
    <w:rsid w:val="007C6F81"/>
    <w:rsid w:val="007C735A"/>
    <w:rsid w:val="007C74E4"/>
    <w:rsid w:val="007C7B2C"/>
    <w:rsid w:val="007C7BFF"/>
    <w:rsid w:val="007C7C66"/>
    <w:rsid w:val="007D06A1"/>
    <w:rsid w:val="007D0BB5"/>
    <w:rsid w:val="007D0D61"/>
    <w:rsid w:val="007D0FF7"/>
    <w:rsid w:val="007D1968"/>
    <w:rsid w:val="007D1F3A"/>
    <w:rsid w:val="007D1FE8"/>
    <w:rsid w:val="007D1FF4"/>
    <w:rsid w:val="007D25BE"/>
    <w:rsid w:val="007D298D"/>
    <w:rsid w:val="007D2F38"/>
    <w:rsid w:val="007D3D42"/>
    <w:rsid w:val="007D3EA8"/>
    <w:rsid w:val="007D4258"/>
    <w:rsid w:val="007D4421"/>
    <w:rsid w:val="007D491A"/>
    <w:rsid w:val="007D5120"/>
    <w:rsid w:val="007D51E1"/>
    <w:rsid w:val="007D5725"/>
    <w:rsid w:val="007D5BB5"/>
    <w:rsid w:val="007D6954"/>
    <w:rsid w:val="007D6972"/>
    <w:rsid w:val="007D715B"/>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8FE"/>
    <w:rsid w:val="007F6925"/>
    <w:rsid w:val="007F6C46"/>
    <w:rsid w:val="007F716C"/>
    <w:rsid w:val="007F7BCB"/>
    <w:rsid w:val="00800246"/>
    <w:rsid w:val="0080056D"/>
    <w:rsid w:val="00800A35"/>
    <w:rsid w:val="00800A99"/>
    <w:rsid w:val="00800C8D"/>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755D"/>
    <w:rsid w:val="008376E6"/>
    <w:rsid w:val="00837868"/>
    <w:rsid w:val="008379C0"/>
    <w:rsid w:val="00837C99"/>
    <w:rsid w:val="00840A52"/>
    <w:rsid w:val="00840D92"/>
    <w:rsid w:val="00841A7C"/>
    <w:rsid w:val="0084280F"/>
    <w:rsid w:val="00842A0B"/>
    <w:rsid w:val="00842A17"/>
    <w:rsid w:val="00842CBC"/>
    <w:rsid w:val="00842D7F"/>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D18"/>
    <w:rsid w:val="00846FEF"/>
    <w:rsid w:val="00847073"/>
    <w:rsid w:val="0084715F"/>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713A"/>
    <w:rsid w:val="00857176"/>
    <w:rsid w:val="00857441"/>
    <w:rsid w:val="00857A38"/>
    <w:rsid w:val="00857F48"/>
    <w:rsid w:val="00860637"/>
    <w:rsid w:val="0086094D"/>
    <w:rsid w:val="00860F7B"/>
    <w:rsid w:val="00860FD9"/>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349"/>
    <w:rsid w:val="00893AA4"/>
    <w:rsid w:val="00893AFE"/>
    <w:rsid w:val="00894717"/>
    <w:rsid w:val="00894B6F"/>
    <w:rsid w:val="00894D94"/>
    <w:rsid w:val="00894FD8"/>
    <w:rsid w:val="008951F1"/>
    <w:rsid w:val="008957AE"/>
    <w:rsid w:val="00897489"/>
    <w:rsid w:val="00897684"/>
    <w:rsid w:val="00897810"/>
    <w:rsid w:val="00897AFC"/>
    <w:rsid w:val="008A0CD8"/>
    <w:rsid w:val="008A12A9"/>
    <w:rsid w:val="008A1614"/>
    <w:rsid w:val="008A1C15"/>
    <w:rsid w:val="008A2158"/>
    <w:rsid w:val="008A217B"/>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9D0"/>
    <w:rsid w:val="008B409D"/>
    <w:rsid w:val="008B452C"/>
    <w:rsid w:val="008B4B49"/>
    <w:rsid w:val="008B4C0F"/>
    <w:rsid w:val="008B4CB7"/>
    <w:rsid w:val="008B51FC"/>
    <w:rsid w:val="008B5579"/>
    <w:rsid w:val="008B55E9"/>
    <w:rsid w:val="008B57CC"/>
    <w:rsid w:val="008B5C5A"/>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4A5F"/>
    <w:rsid w:val="008D5370"/>
    <w:rsid w:val="008D5415"/>
    <w:rsid w:val="008D5867"/>
    <w:rsid w:val="008D5C7A"/>
    <w:rsid w:val="008D6173"/>
    <w:rsid w:val="008D621E"/>
    <w:rsid w:val="008D6261"/>
    <w:rsid w:val="008D7096"/>
    <w:rsid w:val="008D73AC"/>
    <w:rsid w:val="008D7F8E"/>
    <w:rsid w:val="008E00BC"/>
    <w:rsid w:val="008E02D9"/>
    <w:rsid w:val="008E1E1B"/>
    <w:rsid w:val="008E2000"/>
    <w:rsid w:val="008E20EF"/>
    <w:rsid w:val="008E2296"/>
    <w:rsid w:val="008E2529"/>
    <w:rsid w:val="008E29B7"/>
    <w:rsid w:val="008E2B50"/>
    <w:rsid w:val="008E2CB9"/>
    <w:rsid w:val="008E2F0A"/>
    <w:rsid w:val="008E3403"/>
    <w:rsid w:val="008E38A1"/>
    <w:rsid w:val="008E3AE2"/>
    <w:rsid w:val="008E3C34"/>
    <w:rsid w:val="008E4509"/>
    <w:rsid w:val="008E5747"/>
    <w:rsid w:val="008E5BF8"/>
    <w:rsid w:val="008E5DFC"/>
    <w:rsid w:val="008E607E"/>
    <w:rsid w:val="008E65CB"/>
    <w:rsid w:val="008E6851"/>
    <w:rsid w:val="008E70DE"/>
    <w:rsid w:val="008E71EE"/>
    <w:rsid w:val="008F0134"/>
    <w:rsid w:val="008F01FE"/>
    <w:rsid w:val="008F079A"/>
    <w:rsid w:val="008F0884"/>
    <w:rsid w:val="008F0AF1"/>
    <w:rsid w:val="008F0BF2"/>
    <w:rsid w:val="008F0F6A"/>
    <w:rsid w:val="008F1581"/>
    <w:rsid w:val="008F1897"/>
    <w:rsid w:val="008F2E56"/>
    <w:rsid w:val="008F3300"/>
    <w:rsid w:val="008F3935"/>
    <w:rsid w:val="008F3BC0"/>
    <w:rsid w:val="008F4010"/>
    <w:rsid w:val="008F4E61"/>
    <w:rsid w:val="008F5EC0"/>
    <w:rsid w:val="008F6DAC"/>
    <w:rsid w:val="008F7BC4"/>
    <w:rsid w:val="008F7CD9"/>
    <w:rsid w:val="008F7ED1"/>
    <w:rsid w:val="009002D6"/>
    <w:rsid w:val="00900750"/>
    <w:rsid w:val="00900A04"/>
    <w:rsid w:val="00900B8C"/>
    <w:rsid w:val="00900D36"/>
    <w:rsid w:val="00901210"/>
    <w:rsid w:val="0090219F"/>
    <w:rsid w:val="00902297"/>
    <w:rsid w:val="009022C7"/>
    <w:rsid w:val="00902D14"/>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CB8"/>
    <w:rsid w:val="00910D71"/>
    <w:rsid w:val="00911F1E"/>
    <w:rsid w:val="009122EC"/>
    <w:rsid w:val="0091268C"/>
    <w:rsid w:val="0091312C"/>
    <w:rsid w:val="009135DB"/>
    <w:rsid w:val="00913772"/>
    <w:rsid w:val="00913F11"/>
    <w:rsid w:val="009147E7"/>
    <w:rsid w:val="00914867"/>
    <w:rsid w:val="00914CED"/>
    <w:rsid w:val="009150FE"/>
    <w:rsid w:val="00915929"/>
    <w:rsid w:val="00915AF6"/>
    <w:rsid w:val="00915C8E"/>
    <w:rsid w:val="00916ACF"/>
    <w:rsid w:val="0091717F"/>
    <w:rsid w:val="00917D8D"/>
    <w:rsid w:val="00920196"/>
    <w:rsid w:val="00920AEC"/>
    <w:rsid w:val="009210E7"/>
    <w:rsid w:val="00921908"/>
    <w:rsid w:val="00921FBF"/>
    <w:rsid w:val="0092207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6D50"/>
    <w:rsid w:val="0092708E"/>
    <w:rsid w:val="00927197"/>
    <w:rsid w:val="00927B4D"/>
    <w:rsid w:val="00927E31"/>
    <w:rsid w:val="00927F36"/>
    <w:rsid w:val="00927F8D"/>
    <w:rsid w:val="009304D5"/>
    <w:rsid w:val="00930903"/>
    <w:rsid w:val="009309A4"/>
    <w:rsid w:val="00931A81"/>
    <w:rsid w:val="0093248B"/>
    <w:rsid w:val="009327C2"/>
    <w:rsid w:val="00932D40"/>
    <w:rsid w:val="00932F5C"/>
    <w:rsid w:val="009331CB"/>
    <w:rsid w:val="00933493"/>
    <w:rsid w:val="009334C2"/>
    <w:rsid w:val="00933E4F"/>
    <w:rsid w:val="00934237"/>
    <w:rsid w:val="009346C9"/>
    <w:rsid w:val="009346F1"/>
    <w:rsid w:val="00934D69"/>
    <w:rsid w:val="00935B08"/>
    <w:rsid w:val="00935B63"/>
    <w:rsid w:val="00935B7D"/>
    <w:rsid w:val="009363B2"/>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B0A"/>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30F"/>
    <w:rsid w:val="00946405"/>
    <w:rsid w:val="00946677"/>
    <w:rsid w:val="0094693C"/>
    <w:rsid w:val="00946F74"/>
    <w:rsid w:val="009471A0"/>
    <w:rsid w:val="00947437"/>
    <w:rsid w:val="009500D3"/>
    <w:rsid w:val="00950709"/>
    <w:rsid w:val="00950CA0"/>
    <w:rsid w:val="00950CEF"/>
    <w:rsid w:val="009515A0"/>
    <w:rsid w:val="00951D58"/>
    <w:rsid w:val="0095219B"/>
    <w:rsid w:val="00952379"/>
    <w:rsid w:val="009524EC"/>
    <w:rsid w:val="00952559"/>
    <w:rsid w:val="00953242"/>
    <w:rsid w:val="00953491"/>
    <w:rsid w:val="00953865"/>
    <w:rsid w:val="00953A2A"/>
    <w:rsid w:val="009544AB"/>
    <w:rsid w:val="0095486C"/>
    <w:rsid w:val="00954DEF"/>
    <w:rsid w:val="00954E71"/>
    <w:rsid w:val="009559B6"/>
    <w:rsid w:val="0095661B"/>
    <w:rsid w:val="00956B35"/>
    <w:rsid w:val="0095713B"/>
    <w:rsid w:val="00957B03"/>
    <w:rsid w:val="00957B0F"/>
    <w:rsid w:val="00957CB3"/>
    <w:rsid w:val="00957D31"/>
    <w:rsid w:val="00960E88"/>
    <w:rsid w:val="009611F2"/>
    <w:rsid w:val="00961750"/>
    <w:rsid w:val="00961D8C"/>
    <w:rsid w:val="009622C6"/>
    <w:rsid w:val="009625B5"/>
    <w:rsid w:val="00962C90"/>
    <w:rsid w:val="00963D7E"/>
    <w:rsid w:val="0096473B"/>
    <w:rsid w:val="00964E02"/>
    <w:rsid w:val="0096512F"/>
    <w:rsid w:val="00965FE0"/>
    <w:rsid w:val="009660A0"/>
    <w:rsid w:val="009665C1"/>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5CA"/>
    <w:rsid w:val="00973CD9"/>
    <w:rsid w:val="00973D59"/>
    <w:rsid w:val="00973F03"/>
    <w:rsid w:val="009749D9"/>
    <w:rsid w:val="00975634"/>
    <w:rsid w:val="00975944"/>
    <w:rsid w:val="00975CB1"/>
    <w:rsid w:val="00975FA1"/>
    <w:rsid w:val="00977053"/>
    <w:rsid w:val="0097707C"/>
    <w:rsid w:val="00977385"/>
    <w:rsid w:val="00977656"/>
    <w:rsid w:val="009802FC"/>
    <w:rsid w:val="00980AD0"/>
    <w:rsid w:val="009811EF"/>
    <w:rsid w:val="0098125F"/>
    <w:rsid w:val="00981A24"/>
    <w:rsid w:val="00981A50"/>
    <w:rsid w:val="00981B9D"/>
    <w:rsid w:val="0098240D"/>
    <w:rsid w:val="0098260B"/>
    <w:rsid w:val="00982648"/>
    <w:rsid w:val="00982BFD"/>
    <w:rsid w:val="00982F38"/>
    <w:rsid w:val="0098364B"/>
    <w:rsid w:val="0098381A"/>
    <w:rsid w:val="00983ECF"/>
    <w:rsid w:val="009841A6"/>
    <w:rsid w:val="009842C7"/>
    <w:rsid w:val="009847DF"/>
    <w:rsid w:val="00984D52"/>
    <w:rsid w:val="009854F3"/>
    <w:rsid w:val="009858B4"/>
    <w:rsid w:val="00985E77"/>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5D56"/>
    <w:rsid w:val="00996150"/>
    <w:rsid w:val="00996781"/>
    <w:rsid w:val="0099708F"/>
    <w:rsid w:val="009A0688"/>
    <w:rsid w:val="009A0741"/>
    <w:rsid w:val="009A16BF"/>
    <w:rsid w:val="009A1F7B"/>
    <w:rsid w:val="009A1FDC"/>
    <w:rsid w:val="009A3443"/>
    <w:rsid w:val="009A3AED"/>
    <w:rsid w:val="009A42E6"/>
    <w:rsid w:val="009A44AE"/>
    <w:rsid w:val="009A44BD"/>
    <w:rsid w:val="009A48A5"/>
    <w:rsid w:val="009A4D4E"/>
    <w:rsid w:val="009A6682"/>
    <w:rsid w:val="009A6C5C"/>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181"/>
    <w:rsid w:val="009B793D"/>
    <w:rsid w:val="009B7E7E"/>
    <w:rsid w:val="009C07F9"/>
    <w:rsid w:val="009C0D67"/>
    <w:rsid w:val="009C1835"/>
    <w:rsid w:val="009C1993"/>
    <w:rsid w:val="009C1A76"/>
    <w:rsid w:val="009C2177"/>
    <w:rsid w:val="009C21FB"/>
    <w:rsid w:val="009C2A6F"/>
    <w:rsid w:val="009C2B85"/>
    <w:rsid w:val="009C3865"/>
    <w:rsid w:val="009C3B21"/>
    <w:rsid w:val="009C3F10"/>
    <w:rsid w:val="009C40B9"/>
    <w:rsid w:val="009C425B"/>
    <w:rsid w:val="009C4FD1"/>
    <w:rsid w:val="009C5379"/>
    <w:rsid w:val="009C547A"/>
    <w:rsid w:val="009C5E73"/>
    <w:rsid w:val="009C6045"/>
    <w:rsid w:val="009C64F6"/>
    <w:rsid w:val="009C65AE"/>
    <w:rsid w:val="009C6CC7"/>
    <w:rsid w:val="009C7080"/>
    <w:rsid w:val="009C7359"/>
    <w:rsid w:val="009C736A"/>
    <w:rsid w:val="009C7D7A"/>
    <w:rsid w:val="009C7F01"/>
    <w:rsid w:val="009C7FA1"/>
    <w:rsid w:val="009D0138"/>
    <w:rsid w:val="009D0C3F"/>
    <w:rsid w:val="009D0D38"/>
    <w:rsid w:val="009D0FA3"/>
    <w:rsid w:val="009D14AC"/>
    <w:rsid w:val="009D1642"/>
    <w:rsid w:val="009D1BE9"/>
    <w:rsid w:val="009D1F49"/>
    <w:rsid w:val="009D202A"/>
    <w:rsid w:val="009D270D"/>
    <w:rsid w:val="009D2848"/>
    <w:rsid w:val="009D289F"/>
    <w:rsid w:val="009D2F9F"/>
    <w:rsid w:val="009D3081"/>
    <w:rsid w:val="009D3616"/>
    <w:rsid w:val="009D397B"/>
    <w:rsid w:val="009D3A84"/>
    <w:rsid w:val="009D3D2D"/>
    <w:rsid w:val="009D3D56"/>
    <w:rsid w:val="009D435C"/>
    <w:rsid w:val="009D6693"/>
    <w:rsid w:val="009D6941"/>
    <w:rsid w:val="009D7962"/>
    <w:rsid w:val="009E0113"/>
    <w:rsid w:val="009E02EE"/>
    <w:rsid w:val="009E0EC4"/>
    <w:rsid w:val="009E1184"/>
    <w:rsid w:val="009E19A3"/>
    <w:rsid w:val="009E1E0A"/>
    <w:rsid w:val="009E208A"/>
    <w:rsid w:val="009E2F1E"/>
    <w:rsid w:val="009E31D4"/>
    <w:rsid w:val="009E3D24"/>
    <w:rsid w:val="009E3FD3"/>
    <w:rsid w:val="009E41D8"/>
    <w:rsid w:val="009E45F6"/>
    <w:rsid w:val="009E4639"/>
    <w:rsid w:val="009E55FA"/>
    <w:rsid w:val="009F0850"/>
    <w:rsid w:val="009F0B42"/>
    <w:rsid w:val="009F1499"/>
    <w:rsid w:val="009F19DC"/>
    <w:rsid w:val="009F1F2E"/>
    <w:rsid w:val="009F3038"/>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2D7"/>
    <w:rsid w:val="00A07512"/>
    <w:rsid w:val="00A0766C"/>
    <w:rsid w:val="00A07B85"/>
    <w:rsid w:val="00A07BE1"/>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AA1"/>
    <w:rsid w:val="00A20CCC"/>
    <w:rsid w:val="00A20D49"/>
    <w:rsid w:val="00A20F3C"/>
    <w:rsid w:val="00A215E7"/>
    <w:rsid w:val="00A21691"/>
    <w:rsid w:val="00A2210D"/>
    <w:rsid w:val="00A2271F"/>
    <w:rsid w:val="00A22D24"/>
    <w:rsid w:val="00A22D2B"/>
    <w:rsid w:val="00A234C7"/>
    <w:rsid w:val="00A23644"/>
    <w:rsid w:val="00A24001"/>
    <w:rsid w:val="00A253A0"/>
    <w:rsid w:val="00A255CC"/>
    <w:rsid w:val="00A25F3C"/>
    <w:rsid w:val="00A26107"/>
    <w:rsid w:val="00A26BF9"/>
    <w:rsid w:val="00A26FC3"/>
    <w:rsid w:val="00A271B1"/>
    <w:rsid w:val="00A27421"/>
    <w:rsid w:val="00A27CCC"/>
    <w:rsid w:val="00A30799"/>
    <w:rsid w:val="00A311F0"/>
    <w:rsid w:val="00A313EA"/>
    <w:rsid w:val="00A31E02"/>
    <w:rsid w:val="00A3289C"/>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1DD"/>
    <w:rsid w:val="00A3671B"/>
    <w:rsid w:val="00A372ED"/>
    <w:rsid w:val="00A37557"/>
    <w:rsid w:val="00A37783"/>
    <w:rsid w:val="00A379FB"/>
    <w:rsid w:val="00A401C7"/>
    <w:rsid w:val="00A40237"/>
    <w:rsid w:val="00A41AD2"/>
    <w:rsid w:val="00A41C1E"/>
    <w:rsid w:val="00A41FF8"/>
    <w:rsid w:val="00A42082"/>
    <w:rsid w:val="00A42875"/>
    <w:rsid w:val="00A43505"/>
    <w:rsid w:val="00A4570A"/>
    <w:rsid w:val="00A45B7A"/>
    <w:rsid w:val="00A46198"/>
    <w:rsid w:val="00A470A9"/>
    <w:rsid w:val="00A47565"/>
    <w:rsid w:val="00A50A6E"/>
    <w:rsid w:val="00A51025"/>
    <w:rsid w:val="00A5115B"/>
    <w:rsid w:val="00A5178C"/>
    <w:rsid w:val="00A51983"/>
    <w:rsid w:val="00A51A2C"/>
    <w:rsid w:val="00A51B19"/>
    <w:rsid w:val="00A5208D"/>
    <w:rsid w:val="00A52591"/>
    <w:rsid w:val="00A526F8"/>
    <w:rsid w:val="00A530C9"/>
    <w:rsid w:val="00A5325A"/>
    <w:rsid w:val="00A53809"/>
    <w:rsid w:val="00A53ACA"/>
    <w:rsid w:val="00A544C0"/>
    <w:rsid w:val="00A547C2"/>
    <w:rsid w:val="00A547CA"/>
    <w:rsid w:val="00A54BFC"/>
    <w:rsid w:val="00A54EE3"/>
    <w:rsid w:val="00A55F4B"/>
    <w:rsid w:val="00A55FCA"/>
    <w:rsid w:val="00A563B5"/>
    <w:rsid w:val="00A5688B"/>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317"/>
    <w:rsid w:val="00A6482A"/>
    <w:rsid w:val="00A653DE"/>
    <w:rsid w:val="00A656D2"/>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2E88"/>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4046"/>
    <w:rsid w:val="00A9434B"/>
    <w:rsid w:val="00A944E4"/>
    <w:rsid w:val="00A95EB5"/>
    <w:rsid w:val="00A95F4A"/>
    <w:rsid w:val="00A963FA"/>
    <w:rsid w:val="00A9656D"/>
    <w:rsid w:val="00A96780"/>
    <w:rsid w:val="00A96926"/>
    <w:rsid w:val="00A971D9"/>
    <w:rsid w:val="00A977E1"/>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4703"/>
    <w:rsid w:val="00AB4AD9"/>
    <w:rsid w:val="00AB53D8"/>
    <w:rsid w:val="00AB6B37"/>
    <w:rsid w:val="00AB6BB3"/>
    <w:rsid w:val="00AB6E42"/>
    <w:rsid w:val="00AB70CD"/>
    <w:rsid w:val="00AB711D"/>
    <w:rsid w:val="00AB7194"/>
    <w:rsid w:val="00AB78AB"/>
    <w:rsid w:val="00AB7944"/>
    <w:rsid w:val="00AC002C"/>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A39"/>
    <w:rsid w:val="00AC604A"/>
    <w:rsid w:val="00AC639A"/>
    <w:rsid w:val="00AC64C3"/>
    <w:rsid w:val="00AC6765"/>
    <w:rsid w:val="00AC6846"/>
    <w:rsid w:val="00AC7D9F"/>
    <w:rsid w:val="00AC7F64"/>
    <w:rsid w:val="00AC7FEC"/>
    <w:rsid w:val="00AD06CF"/>
    <w:rsid w:val="00AD0965"/>
    <w:rsid w:val="00AD178E"/>
    <w:rsid w:val="00AD1A64"/>
    <w:rsid w:val="00AD1CAD"/>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2C19"/>
    <w:rsid w:val="00AE315B"/>
    <w:rsid w:val="00AE3214"/>
    <w:rsid w:val="00AE32A8"/>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659B"/>
    <w:rsid w:val="00AF70FF"/>
    <w:rsid w:val="00AF75A2"/>
    <w:rsid w:val="00AF76E5"/>
    <w:rsid w:val="00AF7A1F"/>
    <w:rsid w:val="00AF7D56"/>
    <w:rsid w:val="00AF7F3A"/>
    <w:rsid w:val="00B00C13"/>
    <w:rsid w:val="00B00F40"/>
    <w:rsid w:val="00B01560"/>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6268"/>
    <w:rsid w:val="00B16675"/>
    <w:rsid w:val="00B1709E"/>
    <w:rsid w:val="00B1752F"/>
    <w:rsid w:val="00B204C6"/>
    <w:rsid w:val="00B20626"/>
    <w:rsid w:val="00B21726"/>
    <w:rsid w:val="00B2184F"/>
    <w:rsid w:val="00B21B99"/>
    <w:rsid w:val="00B2249B"/>
    <w:rsid w:val="00B22640"/>
    <w:rsid w:val="00B22DF1"/>
    <w:rsid w:val="00B22FC1"/>
    <w:rsid w:val="00B24715"/>
    <w:rsid w:val="00B2487D"/>
    <w:rsid w:val="00B25158"/>
    <w:rsid w:val="00B251BE"/>
    <w:rsid w:val="00B2614A"/>
    <w:rsid w:val="00B262FB"/>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5F29"/>
    <w:rsid w:val="00B3602E"/>
    <w:rsid w:val="00B36098"/>
    <w:rsid w:val="00B3651E"/>
    <w:rsid w:val="00B368D5"/>
    <w:rsid w:val="00B36DBA"/>
    <w:rsid w:val="00B37C82"/>
    <w:rsid w:val="00B37DFE"/>
    <w:rsid w:val="00B400B9"/>
    <w:rsid w:val="00B404BF"/>
    <w:rsid w:val="00B4060E"/>
    <w:rsid w:val="00B41DDE"/>
    <w:rsid w:val="00B42C9C"/>
    <w:rsid w:val="00B43097"/>
    <w:rsid w:val="00B43608"/>
    <w:rsid w:val="00B442EB"/>
    <w:rsid w:val="00B44463"/>
    <w:rsid w:val="00B44575"/>
    <w:rsid w:val="00B44971"/>
    <w:rsid w:val="00B44A38"/>
    <w:rsid w:val="00B44F2F"/>
    <w:rsid w:val="00B450BF"/>
    <w:rsid w:val="00B467EC"/>
    <w:rsid w:val="00B46AA9"/>
    <w:rsid w:val="00B46E50"/>
    <w:rsid w:val="00B476FE"/>
    <w:rsid w:val="00B47E21"/>
    <w:rsid w:val="00B50031"/>
    <w:rsid w:val="00B50159"/>
    <w:rsid w:val="00B50395"/>
    <w:rsid w:val="00B50850"/>
    <w:rsid w:val="00B50B98"/>
    <w:rsid w:val="00B50FA6"/>
    <w:rsid w:val="00B510D4"/>
    <w:rsid w:val="00B5153A"/>
    <w:rsid w:val="00B51A73"/>
    <w:rsid w:val="00B51FAB"/>
    <w:rsid w:val="00B5292D"/>
    <w:rsid w:val="00B52BCA"/>
    <w:rsid w:val="00B53B58"/>
    <w:rsid w:val="00B53CBA"/>
    <w:rsid w:val="00B54047"/>
    <w:rsid w:val="00B5433B"/>
    <w:rsid w:val="00B543F0"/>
    <w:rsid w:val="00B54450"/>
    <w:rsid w:val="00B5472F"/>
    <w:rsid w:val="00B54778"/>
    <w:rsid w:val="00B54C18"/>
    <w:rsid w:val="00B54C36"/>
    <w:rsid w:val="00B55038"/>
    <w:rsid w:val="00B55186"/>
    <w:rsid w:val="00B55840"/>
    <w:rsid w:val="00B5592D"/>
    <w:rsid w:val="00B5596E"/>
    <w:rsid w:val="00B55D0F"/>
    <w:rsid w:val="00B5638B"/>
    <w:rsid w:val="00B56E0C"/>
    <w:rsid w:val="00B57BC7"/>
    <w:rsid w:val="00B57E70"/>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435"/>
    <w:rsid w:val="00B74504"/>
    <w:rsid w:val="00B749C5"/>
    <w:rsid w:val="00B74AF5"/>
    <w:rsid w:val="00B75462"/>
    <w:rsid w:val="00B75BED"/>
    <w:rsid w:val="00B760C7"/>
    <w:rsid w:val="00B76BD2"/>
    <w:rsid w:val="00B76FF1"/>
    <w:rsid w:val="00B8023B"/>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87F06"/>
    <w:rsid w:val="00B90F6E"/>
    <w:rsid w:val="00B911BD"/>
    <w:rsid w:val="00B9180F"/>
    <w:rsid w:val="00B91C1A"/>
    <w:rsid w:val="00B928F4"/>
    <w:rsid w:val="00B928F7"/>
    <w:rsid w:val="00B92FD9"/>
    <w:rsid w:val="00B93091"/>
    <w:rsid w:val="00B93137"/>
    <w:rsid w:val="00B9337E"/>
    <w:rsid w:val="00B93B5C"/>
    <w:rsid w:val="00B93C3D"/>
    <w:rsid w:val="00B93CFB"/>
    <w:rsid w:val="00B93DF2"/>
    <w:rsid w:val="00B94CA2"/>
    <w:rsid w:val="00B94E79"/>
    <w:rsid w:val="00B951D4"/>
    <w:rsid w:val="00B95220"/>
    <w:rsid w:val="00B95582"/>
    <w:rsid w:val="00B95670"/>
    <w:rsid w:val="00B957FD"/>
    <w:rsid w:val="00B95B16"/>
    <w:rsid w:val="00B966FE"/>
    <w:rsid w:val="00B969B7"/>
    <w:rsid w:val="00B977B2"/>
    <w:rsid w:val="00B97E60"/>
    <w:rsid w:val="00BA0199"/>
    <w:rsid w:val="00BA0813"/>
    <w:rsid w:val="00BA1439"/>
    <w:rsid w:val="00BA1547"/>
    <w:rsid w:val="00BA1AE5"/>
    <w:rsid w:val="00BA2D69"/>
    <w:rsid w:val="00BA303D"/>
    <w:rsid w:val="00BA387D"/>
    <w:rsid w:val="00BA3880"/>
    <w:rsid w:val="00BA3966"/>
    <w:rsid w:val="00BA3B52"/>
    <w:rsid w:val="00BA3BB6"/>
    <w:rsid w:val="00BA3E33"/>
    <w:rsid w:val="00BA452D"/>
    <w:rsid w:val="00BA497C"/>
    <w:rsid w:val="00BA6A96"/>
    <w:rsid w:val="00BA6C18"/>
    <w:rsid w:val="00BB080E"/>
    <w:rsid w:val="00BB082C"/>
    <w:rsid w:val="00BB0D00"/>
    <w:rsid w:val="00BB0EFF"/>
    <w:rsid w:val="00BB1215"/>
    <w:rsid w:val="00BB140B"/>
    <w:rsid w:val="00BB142F"/>
    <w:rsid w:val="00BB1496"/>
    <w:rsid w:val="00BB16C1"/>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1A42"/>
    <w:rsid w:val="00BC1BE6"/>
    <w:rsid w:val="00BC36EB"/>
    <w:rsid w:val="00BC3C85"/>
    <w:rsid w:val="00BC3D84"/>
    <w:rsid w:val="00BC3FF2"/>
    <w:rsid w:val="00BC401A"/>
    <w:rsid w:val="00BC429A"/>
    <w:rsid w:val="00BC49B6"/>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1824"/>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88C"/>
    <w:rsid w:val="00BE5966"/>
    <w:rsid w:val="00BE599C"/>
    <w:rsid w:val="00BE5BA4"/>
    <w:rsid w:val="00BE5EF8"/>
    <w:rsid w:val="00BE657A"/>
    <w:rsid w:val="00BE69D2"/>
    <w:rsid w:val="00BE6CA5"/>
    <w:rsid w:val="00BE796E"/>
    <w:rsid w:val="00BE7BFF"/>
    <w:rsid w:val="00BF04DB"/>
    <w:rsid w:val="00BF06E8"/>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EB6"/>
    <w:rsid w:val="00BF5FBD"/>
    <w:rsid w:val="00BF7347"/>
    <w:rsid w:val="00BF74CC"/>
    <w:rsid w:val="00BF7BB6"/>
    <w:rsid w:val="00C008FF"/>
    <w:rsid w:val="00C00A62"/>
    <w:rsid w:val="00C01A4E"/>
    <w:rsid w:val="00C01A8A"/>
    <w:rsid w:val="00C022D8"/>
    <w:rsid w:val="00C029F7"/>
    <w:rsid w:val="00C032FF"/>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5EEF"/>
    <w:rsid w:val="00C160FB"/>
    <w:rsid w:val="00C1624F"/>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2CF5"/>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6E"/>
    <w:rsid w:val="00C27CA8"/>
    <w:rsid w:val="00C306B3"/>
    <w:rsid w:val="00C30852"/>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5DD1"/>
    <w:rsid w:val="00C3647C"/>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7B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C63"/>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04A"/>
    <w:rsid w:val="00C63878"/>
    <w:rsid w:val="00C63B41"/>
    <w:rsid w:val="00C63C0A"/>
    <w:rsid w:val="00C6441D"/>
    <w:rsid w:val="00C6453B"/>
    <w:rsid w:val="00C64678"/>
    <w:rsid w:val="00C64F91"/>
    <w:rsid w:val="00C64FD4"/>
    <w:rsid w:val="00C65AAF"/>
    <w:rsid w:val="00C65BDE"/>
    <w:rsid w:val="00C66532"/>
    <w:rsid w:val="00C6668D"/>
    <w:rsid w:val="00C66771"/>
    <w:rsid w:val="00C66C01"/>
    <w:rsid w:val="00C67059"/>
    <w:rsid w:val="00C6748C"/>
    <w:rsid w:val="00C70C71"/>
    <w:rsid w:val="00C71F39"/>
    <w:rsid w:val="00C72227"/>
    <w:rsid w:val="00C722A4"/>
    <w:rsid w:val="00C72798"/>
    <w:rsid w:val="00C72B62"/>
    <w:rsid w:val="00C72B80"/>
    <w:rsid w:val="00C73603"/>
    <w:rsid w:val="00C73A13"/>
    <w:rsid w:val="00C73FCD"/>
    <w:rsid w:val="00C743C6"/>
    <w:rsid w:val="00C74C28"/>
    <w:rsid w:val="00C75955"/>
    <w:rsid w:val="00C75C1D"/>
    <w:rsid w:val="00C75C9E"/>
    <w:rsid w:val="00C75E12"/>
    <w:rsid w:val="00C769F5"/>
    <w:rsid w:val="00C76FCA"/>
    <w:rsid w:val="00C771BE"/>
    <w:rsid w:val="00C77E97"/>
    <w:rsid w:val="00C80CBC"/>
    <w:rsid w:val="00C80EE2"/>
    <w:rsid w:val="00C81FD6"/>
    <w:rsid w:val="00C820A8"/>
    <w:rsid w:val="00C82527"/>
    <w:rsid w:val="00C83BD5"/>
    <w:rsid w:val="00C844FC"/>
    <w:rsid w:val="00C852D3"/>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6B1"/>
    <w:rsid w:val="00C9783C"/>
    <w:rsid w:val="00CA049F"/>
    <w:rsid w:val="00CA05A2"/>
    <w:rsid w:val="00CA06BB"/>
    <w:rsid w:val="00CA0C3E"/>
    <w:rsid w:val="00CA13E0"/>
    <w:rsid w:val="00CA178B"/>
    <w:rsid w:val="00CA1A50"/>
    <w:rsid w:val="00CA1AEA"/>
    <w:rsid w:val="00CA1D02"/>
    <w:rsid w:val="00CA1F2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0A23"/>
    <w:rsid w:val="00CB2439"/>
    <w:rsid w:val="00CB26C5"/>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0D44"/>
    <w:rsid w:val="00CC1286"/>
    <w:rsid w:val="00CC14FB"/>
    <w:rsid w:val="00CC2EE7"/>
    <w:rsid w:val="00CC2FBD"/>
    <w:rsid w:val="00CC34E7"/>
    <w:rsid w:val="00CC3E8D"/>
    <w:rsid w:val="00CC43AC"/>
    <w:rsid w:val="00CC4E91"/>
    <w:rsid w:val="00CC51AD"/>
    <w:rsid w:val="00CC5A5E"/>
    <w:rsid w:val="00CC5AAF"/>
    <w:rsid w:val="00CC6331"/>
    <w:rsid w:val="00CC76DF"/>
    <w:rsid w:val="00CC787B"/>
    <w:rsid w:val="00CC7DE2"/>
    <w:rsid w:val="00CC7E9A"/>
    <w:rsid w:val="00CD0078"/>
    <w:rsid w:val="00CD173B"/>
    <w:rsid w:val="00CD1831"/>
    <w:rsid w:val="00CD1C82"/>
    <w:rsid w:val="00CD1FFA"/>
    <w:rsid w:val="00CD290C"/>
    <w:rsid w:val="00CD2AB0"/>
    <w:rsid w:val="00CD2DD8"/>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BF1"/>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288"/>
    <w:rsid w:val="00CF56D9"/>
    <w:rsid w:val="00CF58C1"/>
    <w:rsid w:val="00CF5BE5"/>
    <w:rsid w:val="00CF5D9B"/>
    <w:rsid w:val="00CF63EB"/>
    <w:rsid w:val="00CF6594"/>
    <w:rsid w:val="00CF7131"/>
    <w:rsid w:val="00CF7460"/>
    <w:rsid w:val="00CF75EB"/>
    <w:rsid w:val="00CF77CC"/>
    <w:rsid w:val="00CF7C70"/>
    <w:rsid w:val="00D00AF9"/>
    <w:rsid w:val="00D00C3A"/>
    <w:rsid w:val="00D00CC7"/>
    <w:rsid w:val="00D01367"/>
    <w:rsid w:val="00D0195E"/>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516"/>
    <w:rsid w:val="00D11661"/>
    <w:rsid w:val="00D11DE2"/>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17B4F"/>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E4C"/>
    <w:rsid w:val="00D37E8A"/>
    <w:rsid w:val="00D40C23"/>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045"/>
    <w:rsid w:val="00D47492"/>
    <w:rsid w:val="00D4770F"/>
    <w:rsid w:val="00D47F92"/>
    <w:rsid w:val="00D506E1"/>
    <w:rsid w:val="00D50B11"/>
    <w:rsid w:val="00D50C43"/>
    <w:rsid w:val="00D50D82"/>
    <w:rsid w:val="00D514AC"/>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59F"/>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355F"/>
    <w:rsid w:val="00D84145"/>
    <w:rsid w:val="00D8447F"/>
    <w:rsid w:val="00D851E4"/>
    <w:rsid w:val="00D85F88"/>
    <w:rsid w:val="00D86743"/>
    <w:rsid w:val="00D869DB"/>
    <w:rsid w:val="00D86A09"/>
    <w:rsid w:val="00D86FDC"/>
    <w:rsid w:val="00D879AF"/>
    <w:rsid w:val="00D90206"/>
    <w:rsid w:val="00D905CB"/>
    <w:rsid w:val="00D9147A"/>
    <w:rsid w:val="00D919AA"/>
    <w:rsid w:val="00D91B06"/>
    <w:rsid w:val="00D924E1"/>
    <w:rsid w:val="00D926A4"/>
    <w:rsid w:val="00D94A9C"/>
    <w:rsid w:val="00D94CC2"/>
    <w:rsid w:val="00D94F62"/>
    <w:rsid w:val="00D951CD"/>
    <w:rsid w:val="00D95A63"/>
    <w:rsid w:val="00D95F18"/>
    <w:rsid w:val="00D962F4"/>
    <w:rsid w:val="00D963E6"/>
    <w:rsid w:val="00D966BF"/>
    <w:rsid w:val="00D968E2"/>
    <w:rsid w:val="00D96D0C"/>
    <w:rsid w:val="00D971E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15"/>
    <w:rsid w:val="00DB2DD5"/>
    <w:rsid w:val="00DB3544"/>
    <w:rsid w:val="00DB3CE8"/>
    <w:rsid w:val="00DB3DE4"/>
    <w:rsid w:val="00DB414B"/>
    <w:rsid w:val="00DB42E4"/>
    <w:rsid w:val="00DB4766"/>
    <w:rsid w:val="00DB4E87"/>
    <w:rsid w:val="00DB52E1"/>
    <w:rsid w:val="00DB5C51"/>
    <w:rsid w:val="00DB63EC"/>
    <w:rsid w:val="00DB661A"/>
    <w:rsid w:val="00DB6CC0"/>
    <w:rsid w:val="00DC1698"/>
    <w:rsid w:val="00DC1757"/>
    <w:rsid w:val="00DC2418"/>
    <w:rsid w:val="00DC2F24"/>
    <w:rsid w:val="00DC37C0"/>
    <w:rsid w:val="00DC41A6"/>
    <w:rsid w:val="00DC435A"/>
    <w:rsid w:val="00DC4979"/>
    <w:rsid w:val="00DC4DE1"/>
    <w:rsid w:val="00DC5788"/>
    <w:rsid w:val="00DC58D6"/>
    <w:rsid w:val="00DC5990"/>
    <w:rsid w:val="00DC6072"/>
    <w:rsid w:val="00DC621B"/>
    <w:rsid w:val="00DC626C"/>
    <w:rsid w:val="00DC66F1"/>
    <w:rsid w:val="00DC677B"/>
    <w:rsid w:val="00DC67FB"/>
    <w:rsid w:val="00DC68AF"/>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0D93"/>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92"/>
    <w:rsid w:val="00DF5ABE"/>
    <w:rsid w:val="00DF5DA1"/>
    <w:rsid w:val="00DF5E9B"/>
    <w:rsid w:val="00DF60CC"/>
    <w:rsid w:val="00DF67D2"/>
    <w:rsid w:val="00DF6803"/>
    <w:rsid w:val="00DF6AD7"/>
    <w:rsid w:val="00DF6D44"/>
    <w:rsid w:val="00DF6E97"/>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62"/>
    <w:rsid w:val="00E06074"/>
    <w:rsid w:val="00E063C0"/>
    <w:rsid w:val="00E063D1"/>
    <w:rsid w:val="00E064CD"/>
    <w:rsid w:val="00E0680A"/>
    <w:rsid w:val="00E069F9"/>
    <w:rsid w:val="00E06AC2"/>
    <w:rsid w:val="00E06F05"/>
    <w:rsid w:val="00E06F66"/>
    <w:rsid w:val="00E0731E"/>
    <w:rsid w:val="00E07BFC"/>
    <w:rsid w:val="00E07DB5"/>
    <w:rsid w:val="00E10016"/>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36"/>
    <w:rsid w:val="00E164EA"/>
    <w:rsid w:val="00E165D6"/>
    <w:rsid w:val="00E16F5D"/>
    <w:rsid w:val="00E16FE3"/>
    <w:rsid w:val="00E17691"/>
    <w:rsid w:val="00E17916"/>
    <w:rsid w:val="00E17A1C"/>
    <w:rsid w:val="00E20423"/>
    <w:rsid w:val="00E20732"/>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A9C"/>
    <w:rsid w:val="00E32EC6"/>
    <w:rsid w:val="00E33003"/>
    <w:rsid w:val="00E3425C"/>
    <w:rsid w:val="00E348BD"/>
    <w:rsid w:val="00E350D9"/>
    <w:rsid w:val="00E35617"/>
    <w:rsid w:val="00E357D1"/>
    <w:rsid w:val="00E35BC0"/>
    <w:rsid w:val="00E35E76"/>
    <w:rsid w:val="00E366FF"/>
    <w:rsid w:val="00E36704"/>
    <w:rsid w:val="00E36846"/>
    <w:rsid w:val="00E36BC2"/>
    <w:rsid w:val="00E36CAE"/>
    <w:rsid w:val="00E36F52"/>
    <w:rsid w:val="00E36FAC"/>
    <w:rsid w:val="00E375A2"/>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77F"/>
    <w:rsid w:val="00E46ABE"/>
    <w:rsid w:val="00E470E2"/>
    <w:rsid w:val="00E47323"/>
    <w:rsid w:val="00E47B97"/>
    <w:rsid w:val="00E47DC1"/>
    <w:rsid w:val="00E5101D"/>
    <w:rsid w:val="00E51A6F"/>
    <w:rsid w:val="00E51EB7"/>
    <w:rsid w:val="00E52950"/>
    <w:rsid w:val="00E52C00"/>
    <w:rsid w:val="00E531B0"/>
    <w:rsid w:val="00E531BC"/>
    <w:rsid w:val="00E53A50"/>
    <w:rsid w:val="00E53C79"/>
    <w:rsid w:val="00E54F63"/>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35F4"/>
    <w:rsid w:val="00E73F74"/>
    <w:rsid w:val="00E747F4"/>
    <w:rsid w:val="00E75091"/>
    <w:rsid w:val="00E75D02"/>
    <w:rsid w:val="00E76365"/>
    <w:rsid w:val="00E76958"/>
    <w:rsid w:val="00E7763B"/>
    <w:rsid w:val="00E77D4D"/>
    <w:rsid w:val="00E8009E"/>
    <w:rsid w:val="00E80B59"/>
    <w:rsid w:val="00E80D38"/>
    <w:rsid w:val="00E81304"/>
    <w:rsid w:val="00E81BED"/>
    <w:rsid w:val="00E81E49"/>
    <w:rsid w:val="00E8280F"/>
    <w:rsid w:val="00E829AF"/>
    <w:rsid w:val="00E82E4A"/>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7D9"/>
    <w:rsid w:val="00E9300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306"/>
    <w:rsid w:val="00EA048C"/>
    <w:rsid w:val="00EA061E"/>
    <w:rsid w:val="00EA21A0"/>
    <w:rsid w:val="00EA2C9C"/>
    <w:rsid w:val="00EA2F7D"/>
    <w:rsid w:val="00EA331E"/>
    <w:rsid w:val="00EA358F"/>
    <w:rsid w:val="00EA35F0"/>
    <w:rsid w:val="00EA3E62"/>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0A2"/>
    <w:rsid w:val="00EB5800"/>
    <w:rsid w:val="00EB5934"/>
    <w:rsid w:val="00EB5C00"/>
    <w:rsid w:val="00EB633D"/>
    <w:rsid w:val="00EB6D6F"/>
    <w:rsid w:val="00EB71A1"/>
    <w:rsid w:val="00EB7776"/>
    <w:rsid w:val="00EC1A8A"/>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0B43"/>
    <w:rsid w:val="00ED1658"/>
    <w:rsid w:val="00ED1A3C"/>
    <w:rsid w:val="00ED24BF"/>
    <w:rsid w:val="00ED3EC1"/>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322"/>
    <w:rsid w:val="00ED7537"/>
    <w:rsid w:val="00ED75F5"/>
    <w:rsid w:val="00ED78E0"/>
    <w:rsid w:val="00EE04D7"/>
    <w:rsid w:val="00EE07ED"/>
    <w:rsid w:val="00EE0E17"/>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939"/>
    <w:rsid w:val="00EE5A3D"/>
    <w:rsid w:val="00EE5E27"/>
    <w:rsid w:val="00EE6126"/>
    <w:rsid w:val="00EE61AF"/>
    <w:rsid w:val="00EE653F"/>
    <w:rsid w:val="00EE6B26"/>
    <w:rsid w:val="00EE6B35"/>
    <w:rsid w:val="00EE7509"/>
    <w:rsid w:val="00EE7B1A"/>
    <w:rsid w:val="00EF0295"/>
    <w:rsid w:val="00EF031D"/>
    <w:rsid w:val="00EF071B"/>
    <w:rsid w:val="00EF0752"/>
    <w:rsid w:val="00EF0965"/>
    <w:rsid w:val="00EF0B3F"/>
    <w:rsid w:val="00EF1109"/>
    <w:rsid w:val="00EF1503"/>
    <w:rsid w:val="00EF155C"/>
    <w:rsid w:val="00EF19F8"/>
    <w:rsid w:val="00EF2429"/>
    <w:rsid w:val="00EF3208"/>
    <w:rsid w:val="00EF45E5"/>
    <w:rsid w:val="00EF4B06"/>
    <w:rsid w:val="00EF4E65"/>
    <w:rsid w:val="00EF5264"/>
    <w:rsid w:val="00EF57AC"/>
    <w:rsid w:val="00EF5CAE"/>
    <w:rsid w:val="00EF5CF8"/>
    <w:rsid w:val="00EF5D64"/>
    <w:rsid w:val="00EF6746"/>
    <w:rsid w:val="00EF68D9"/>
    <w:rsid w:val="00F00CC6"/>
    <w:rsid w:val="00F00E30"/>
    <w:rsid w:val="00F0177C"/>
    <w:rsid w:val="00F01E87"/>
    <w:rsid w:val="00F01F6A"/>
    <w:rsid w:val="00F01F8A"/>
    <w:rsid w:val="00F01FC1"/>
    <w:rsid w:val="00F021E4"/>
    <w:rsid w:val="00F023EA"/>
    <w:rsid w:val="00F03221"/>
    <w:rsid w:val="00F032FB"/>
    <w:rsid w:val="00F0368B"/>
    <w:rsid w:val="00F038AA"/>
    <w:rsid w:val="00F03C08"/>
    <w:rsid w:val="00F04B9F"/>
    <w:rsid w:val="00F05DCA"/>
    <w:rsid w:val="00F06427"/>
    <w:rsid w:val="00F06566"/>
    <w:rsid w:val="00F06ED1"/>
    <w:rsid w:val="00F0719C"/>
    <w:rsid w:val="00F072E7"/>
    <w:rsid w:val="00F07672"/>
    <w:rsid w:val="00F077DC"/>
    <w:rsid w:val="00F07958"/>
    <w:rsid w:val="00F07EF1"/>
    <w:rsid w:val="00F10CC1"/>
    <w:rsid w:val="00F11271"/>
    <w:rsid w:val="00F11B75"/>
    <w:rsid w:val="00F13A5E"/>
    <w:rsid w:val="00F14DED"/>
    <w:rsid w:val="00F150D7"/>
    <w:rsid w:val="00F16039"/>
    <w:rsid w:val="00F16844"/>
    <w:rsid w:val="00F16F13"/>
    <w:rsid w:val="00F20940"/>
    <w:rsid w:val="00F20D0A"/>
    <w:rsid w:val="00F21302"/>
    <w:rsid w:val="00F217D1"/>
    <w:rsid w:val="00F21885"/>
    <w:rsid w:val="00F21C9A"/>
    <w:rsid w:val="00F22048"/>
    <w:rsid w:val="00F223E6"/>
    <w:rsid w:val="00F22C03"/>
    <w:rsid w:val="00F22EFD"/>
    <w:rsid w:val="00F23200"/>
    <w:rsid w:val="00F237F3"/>
    <w:rsid w:val="00F23951"/>
    <w:rsid w:val="00F23A6F"/>
    <w:rsid w:val="00F2417F"/>
    <w:rsid w:val="00F24A67"/>
    <w:rsid w:val="00F25138"/>
    <w:rsid w:val="00F25180"/>
    <w:rsid w:val="00F25591"/>
    <w:rsid w:val="00F25738"/>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639"/>
    <w:rsid w:val="00F34EA2"/>
    <w:rsid w:val="00F3579D"/>
    <w:rsid w:val="00F357B0"/>
    <w:rsid w:val="00F36BDF"/>
    <w:rsid w:val="00F36C03"/>
    <w:rsid w:val="00F37614"/>
    <w:rsid w:val="00F37AAD"/>
    <w:rsid w:val="00F37D59"/>
    <w:rsid w:val="00F40BE0"/>
    <w:rsid w:val="00F40ED7"/>
    <w:rsid w:val="00F410C4"/>
    <w:rsid w:val="00F41108"/>
    <w:rsid w:val="00F412D6"/>
    <w:rsid w:val="00F412E0"/>
    <w:rsid w:val="00F41769"/>
    <w:rsid w:val="00F41E01"/>
    <w:rsid w:val="00F42183"/>
    <w:rsid w:val="00F4300E"/>
    <w:rsid w:val="00F43635"/>
    <w:rsid w:val="00F43D8F"/>
    <w:rsid w:val="00F44C66"/>
    <w:rsid w:val="00F44E87"/>
    <w:rsid w:val="00F44F90"/>
    <w:rsid w:val="00F454A8"/>
    <w:rsid w:val="00F455A0"/>
    <w:rsid w:val="00F45F48"/>
    <w:rsid w:val="00F4613E"/>
    <w:rsid w:val="00F463E2"/>
    <w:rsid w:val="00F4656A"/>
    <w:rsid w:val="00F478AD"/>
    <w:rsid w:val="00F50044"/>
    <w:rsid w:val="00F50451"/>
    <w:rsid w:val="00F50577"/>
    <w:rsid w:val="00F507D1"/>
    <w:rsid w:val="00F50DF3"/>
    <w:rsid w:val="00F5100A"/>
    <w:rsid w:val="00F510D8"/>
    <w:rsid w:val="00F511FA"/>
    <w:rsid w:val="00F515BF"/>
    <w:rsid w:val="00F5163C"/>
    <w:rsid w:val="00F524E5"/>
    <w:rsid w:val="00F52B34"/>
    <w:rsid w:val="00F52E19"/>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57D"/>
    <w:rsid w:val="00F63C21"/>
    <w:rsid w:val="00F64361"/>
    <w:rsid w:val="00F6447E"/>
    <w:rsid w:val="00F64714"/>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77D0E"/>
    <w:rsid w:val="00F80025"/>
    <w:rsid w:val="00F802E4"/>
    <w:rsid w:val="00F8032E"/>
    <w:rsid w:val="00F803D2"/>
    <w:rsid w:val="00F80695"/>
    <w:rsid w:val="00F81253"/>
    <w:rsid w:val="00F812DF"/>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ADD"/>
    <w:rsid w:val="00FA7031"/>
    <w:rsid w:val="00FA7367"/>
    <w:rsid w:val="00FA7459"/>
    <w:rsid w:val="00FB009B"/>
    <w:rsid w:val="00FB0492"/>
    <w:rsid w:val="00FB0710"/>
    <w:rsid w:val="00FB0D98"/>
    <w:rsid w:val="00FB0E5A"/>
    <w:rsid w:val="00FB1755"/>
    <w:rsid w:val="00FB1E97"/>
    <w:rsid w:val="00FB2293"/>
    <w:rsid w:val="00FB3409"/>
    <w:rsid w:val="00FB3AF8"/>
    <w:rsid w:val="00FB3E02"/>
    <w:rsid w:val="00FB3FC8"/>
    <w:rsid w:val="00FB47AF"/>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309"/>
    <w:rsid w:val="00FC48F9"/>
    <w:rsid w:val="00FC4A17"/>
    <w:rsid w:val="00FC5113"/>
    <w:rsid w:val="00FC59BD"/>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99"/>
    <w:rsid w:val="00FD42D7"/>
    <w:rsid w:val="00FD43C5"/>
    <w:rsid w:val="00FD45FD"/>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4A51"/>
    <w:rsid w:val="00FE5172"/>
    <w:rsid w:val="00FE55D0"/>
    <w:rsid w:val="00FE56E1"/>
    <w:rsid w:val="00FE578B"/>
    <w:rsid w:val="00FE594B"/>
    <w:rsid w:val="00FE5C03"/>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1DCD95-F4B7-43F6-AFE0-FFFE5A3C3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1"/>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1"/>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1"/>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1"/>
    <w:next w:val="a1"/>
    <w:qFormat/>
    <w:pPr>
      <w:keepNext/>
      <w:jc w:val="center"/>
      <w:outlineLvl w:val="3"/>
    </w:pPr>
    <w:rPr>
      <w:rFonts w:ascii="Times New Roman"/>
      <w:b/>
      <w:bCs/>
    </w:rPr>
  </w:style>
  <w:style w:type="paragraph" w:styleId="5">
    <w:name w:val="heading 5"/>
    <w:aliases w:val="H5"/>
    <w:basedOn w:val="a1"/>
    <w:next w:val="a1"/>
    <w:qFormat/>
    <w:pPr>
      <w:keepNext/>
      <w:numPr>
        <w:ilvl w:val="4"/>
        <w:numId w:val="1"/>
      </w:numPr>
      <w:outlineLvl w:val="4"/>
    </w:pPr>
    <w:rPr>
      <w:rFonts w:ascii="Times New Roman"/>
      <w:b/>
      <w:bCs/>
      <w:sz w:val="24"/>
    </w:rPr>
  </w:style>
  <w:style w:type="paragraph" w:styleId="6">
    <w:name w:val="heading 6"/>
    <w:basedOn w:val="a1"/>
    <w:next w:val="a1"/>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1"/>
    <w:next w:val="a1"/>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1"/>
    <w:next w:val="a1"/>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1"/>
    <w:next w:val="a1"/>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1"/>
    <w:link w:val="Char"/>
    <w:pPr>
      <w:widowControl/>
      <w:wordWrap/>
      <w:autoSpaceDE/>
      <w:autoSpaceDN/>
    </w:pPr>
    <w:rPr>
      <w:rFonts w:ascii="Times New Roman"/>
      <w:snapToGrid w:val="0"/>
      <w:kern w:val="0"/>
      <w:sz w:val="22"/>
      <w:szCs w:val="20"/>
    </w:rPr>
  </w:style>
  <w:style w:type="paragraph" w:customStyle="1" w:styleId="LGTdoc1">
    <w:name w:val="LGTdoc_제목1"/>
    <w:basedOn w:val="a1"/>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1"/>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1"/>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1"/>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1"/>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1"/>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6">
    <w:name w:val="Balloon Text"/>
    <w:basedOn w:val="a1"/>
    <w:semiHidden/>
    <w:rPr>
      <w:rFonts w:ascii="Arial" w:eastAsia="돋움" w:hAnsi="Arial"/>
      <w:sz w:val="18"/>
      <w:szCs w:val="18"/>
    </w:rPr>
  </w:style>
  <w:style w:type="character" w:styleId="a7">
    <w:name w:val="Strong"/>
    <w:qFormat/>
    <w:rPr>
      <w:b/>
      <w:bCs/>
    </w:rPr>
  </w:style>
  <w:style w:type="paragraph" w:customStyle="1" w:styleId="10">
    <w:name w:val="랜1회의_본문"/>
    <w:basedOn w:val="a1"/>
    <w:pPr>
      <w:tabs>
        <w:tab w:val="left" w:pos="720"/>
      </w:tabs>
      <w:spacing w:afterLines="20" w:after="48"/>
      <w:ind w:left="720" w:hanging="181"/>
    </w:pPr>
    <w:rPr>
      <w:rFonts w:ascii="Arial" w:eastAsia="굴림" w:hAnsi="Arial"/>
      <w:szCs w:val="20"/>
      <w:lang w:val="en-GB"/>
    </w:rPr>
  </w:style>
  <w:style w:type="paragraph" w:styleId="a8">
    <w:name w:val="footer"/>
    <w:basedOn w:val="a1"/>
    <w:link w:val="Char0"/>
    <w:uiPriority w:val="99"/>
    <w:pPr>
      <w:tabs>
        <w:tab w:val="center" w:pos="4252"/>
        <w:tab w:val="right" w:pos="8504"/>
      </w:tabs>
      <w:snapToGrid w:val="0"/>
    </w:pPr>
    <w:rPr>
      <w:lang w:val="x-none" w:eastAsia="x-none"/>
    </w:rPr>
  </w:style>
  <w:style w:type="character" w:styleId="a9">
    <w:name w:val="page number"/>
    <w:basedOn w:val="a2"/>
  </w:style>
  <w:style w:type="paragraph" w:styleId="aa">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1 Char1,Caption Char Char Char1,Caption Char1 Char Char,Caption Char2 Char,Caption Char Char Char Char,Caption Char Char1 Char,Caption Char Char2,fig and tbl Char,fighead2 Char,Table Caption Char"/>
    <w:link w:val="aa"/>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5"/>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1"/>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b">
    <w:name w:val="Table Grid"/>
    <w:basedOn w:val="a3"/>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1"/>
    <w:rsid w:val="004E089D"/>
    <w:pPr>
      <w:wordWrap/>
      <w:spacing w:line="252" w:lineRule="auto"/>
      <w:ind w:firstLine="202"/>
    </w:pPr>
    <w:rPr>
      <w:rFonts w:ascii="Times New Roman"/>
      <w:kern w:val="0"/>
      <w:szCs w:val="20"/>
      <w:lang w:eastAsia="en-US"/>
    </w:rPr>
  </w:style>
  <w:style w:type="character" w:styleId="ac">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0">
    <w:name w:val="List Bullet"/>
    <w:basedOn w:val="a1"/>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d">
    <w:name w:val="Document Map"/>
    <w:basedOn w:val="a1"/>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e"/>
    <w:rsid w:val="00B600D4"/>
    <w:rPr>
      <w:rFonts w:ascii="바탕" w:eastAsia="바탕"/>
      <w:kern w:val="2"/>
      <w:szCs w:val="24"/>
      <w:lang w:val="en-US" w:eastAsia="ko-KR" w:bidi="ar-SA"/>
    </w:rPr>
  </w:style>
  <w:style w:type="character" w:styleId="af">
    <w:name w:val="annotation reference"/>
    <w:uiPriority w:val="99"/>
    <w:semiHidden/>
    <w:rsid w:val="00D600DC"/>
    <w:rPr>
      <w:sz w:val="18"/>
      <w:szCs w:val="18"/>
    </w:rPr>
  </w:style>
  <w:style w:type="paragraph" w:styleId="af0">
    <w:name w:val="annotation text"/>
    <w:basedOn w:val="a1"/>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1">
    <w:name w:val="annotation subject"/>
    <w:basedOn w:val="af0"/>
    <w:next w:val="af0"/>
    <w:semiHidden/>
    <w:rsid w:val="001D3007"/>
    <w:rPr>
      <w:b/>
      <w:bCs/>
    </w:rPr>
  </w:style>
  <w:style w:type="paragraph" w:styleId="af2">
    <w:name w:val="footnote text"/>
    <w:basedOn w:val="a1"/>
    <w:link w:val="Char5"/>
    <w:rsid w:val="003F36E8"/>
    <w:pPr>
      <w:snapToGrid w:val="0"/>
      <w:jc w:val="left"/>
    </w:pPr>
    <w:rPr>
      <w:lang w:val="x-none" w:eastAsia="x-none"/>
    </w:rPr>
  </w:style>
  <w:style w:type="character" w:customStyle="1" w:styleId="Char5">
    <w:name w:val="각주 텍스트 Char"/>
    <w:link w:val="af2"/>
    <w:rsid w:val="003F36E8"/>
    <w:rPr>
      <w:rFonts w:ascii="바탕"/>
      <w:kern w:val="2"/>
      <w:szCs w:val="24"/>
    </w:rPr>
  </w:style>
  <w:style w:type="character" w:styleId="af3">
    <w:name w:val="footnote reference"/>
    <w:rsid w:val="003F36E8"/>
    <w:rPr>
      <w:vertAlign w:val="superscript"/>
    </w:rPr>
  </w:style>
  <w:style w:type="paragraph" w:styleId="af4">
    <w:name w:val="Normal (Web)"/>
    <w:basedOn w:val="a1"/>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3"/>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1"/>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5"/>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5">
    <w:name w:val="List Paragraph"/>
    <w:basedOn w:val="a1"/>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8"/>
    <w:uiPriority w:val="99"/>
    <w:rsid w:val="00637E13"/>
    <w:rPr>
      <w:rFonts w:ascii="바탕"/>
      <w:kern w:val="2"/>
      <w:szCs w:val="24"/>
    </w:rPr>
  </w:style>
  <w:style w:type="character" w:customStyle="1" w:styleId="Char4">
    <w:name w:val="메모 텍스트 Char"/>
    <w:link w:val="af0"/>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6">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1"/>
    <w:next w:val="a1"/>
    <w:autoRedefine/>
    <w:rsid w:val="00C32F59"/>
  </w:style>
  <w:style w:type="paragraph" w:customStyle="1" w:styleId="References">
    <w:name w:val="References"/>
    <w:basedOn w:val="a1"/>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character" w:customStyle="1" w:styleId="Char6">
    <w:name w:val="목록 단락 Char"/>
    <w:link w:val="af5"/>
    <w:uiPriority w:val="34"/>
    <w:locked/>
    <w:rsid w:val="0084715F"/>
    <w:rPr>
      <w:rFonts w:ascii="맑은 고딕" w:eastAsia="맑은 고딕" w:hAnsi="맑은 고딕"/>
      <w:kern w:val="2"/>
      <w:szCs w:val="22"/>
    </w:rPr>
  </w:style>
  <w:style w:type="paragraph" w:customStyle="1" w:styleId="a">
    <w:name w:val="_내용"/>
    <w:basedOn w:val="a1"/>
    <w:rsid w:val="0068534C"/>
    <w:pPr>
      <w:numPr>
        <w:numId w:val="12"/>
      </w:numPr>
      <w:spacing w:before="60" w:line="360" w:lineRule="atLeast"/>
    </w:pPr>
    <w:rPr>
      <w:rFonts w:ascii="Times New Roman" w:eastAsia="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20937">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722542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8019681">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06124776">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272947">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_3.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5" Type="http://schemas.openxmlformats.org/officeDocument/2006/relationships/oleObject" Target="embeddings/Microsoft_Visio_2003-2010____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B3DC1-B9C9-4428-B219-5852C85E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3108</Words>
  <Characters>17716</Characters>
  <Application>Microsoft Office Word</Application>
  <DocSecurity>0</DocSecurity>
  <Lines>147</Lines>
  <Paragraphs>41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20783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김재형/수석연구원/차세대표준(연)ABM팀(jaehyung.kim@lge.com)</cp:lastModifiedBy>
  <cp:revision>10</cp:revision>
  <cp:lastPrinted>2014-01-26T05:26:00Z</cp:lastPrinted>
  <dcterms:created xsi:type="dcterms:W3CDTF">2017-11-17T15:27:00Z</dcterms:created>
  <dcterms:modified xsi:type="dcterms:W3CDTF">2017-11-17T16:14:00Z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